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E061FA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E061FA" w:rsidRDefault="002E610D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E061FA" w:rsidRDefault="002E610D">
            <w:pPr>
              <w:spacing w:after="0" w:line="240" w:lineRule="auto"/>
            </w:pPr>
            <w:r>
              <w:t>50223</w:t>
            </w:r>
          </w:p>
        </w:tc>
      </w:tr>
      <w:tr w:rsidR="00E061FA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E061FA" w:rsidRDefault="002E610D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E061FA" w:rsidRDefault="002E610D">
            <w:pPr>
              <w:spacing w:after="0" w:line="240" w:lineRule="auto"/>
            </w:pPr>
            <w:r>
              <w:t>CENTAR ZA PRUŽANJE USLUGA U ZAJEDNICI ZAGREBAČKI CENTAR ZA NEOVISNO ŽIVLJENJE</w:t>
            </w:r>
          </w:p>
        </w:tc>
      </w:tr>
      <w:tr w:rsidR="00E061FA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E061FA" w:rsidRDefault="002E610D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E061FA" w:rsidRDefault="002E610D">
            <w:pPr>
              <w:spacing w:after="0" w:line="240" w:lineRule="auto"/>
            </w:pPr>
            <w:r>
              <w:t>21</w:t>
            </w:r>
          </w:p>
        </w:tc>
      </w:tr>
    </w:tbl>
    <w:p w:rsidR="00E061FA" w:rsidRDefault="002E610D">
      <w:r>
        <w:br/>
      </w:r>
    </w:p>
    <w:p w:rsidR="00E061FA" w:rsidRDefault="002E610D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E061FA" w:rsidRDefault="002E610D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E061FA" w:rsidRDefault="002E610D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E061FA" w:rsidRDefault="00E061FA"/>
    <w:p w:rsidR="00E061FA" w:rsidRDefault="002E610D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E061FA" w:rsidRDefault="002E610D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1.711.985,99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1.981.707,49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115,8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1.436.472,66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1.790.927,72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124,7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E061F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275.513,33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190.779,77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69,2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521,98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125,8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E061F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415,00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521,98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125,8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E061F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E061F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275.098,33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190.257,79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69,2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> </w:t>
      </w:r>
    </w:p>
    <w:p w:rsidR="00E061FA" w:rsidRDefault="002E610D">
      <w:r>
        <w:t xml:space="preserve">Centar za pružanje usluga u zajednici“ Novi Jelkovec“ osnovan je Odlukom Gradske skupštine Grada Zagreba na 6. sjednici, 4. prosinca 2017. godine (Službeni glasnik Grada Zagreba 22/17 od 07. prosinca 2017.).  Osnivač  ustanove  je Grad Zagreb i svrstana je u korisnike Proračuna Grada Zagreba uz nadležnost Gradskog ureda za socijalnu zaštitu, </w:t>
      </w:r>
      <w:r>
        <w:lastRenderedPageBreak/>
        <w:t>zdravstvo,branitelje i osobe s invaliditetom. Centar službeno mijenja naziv 06. svibnja 2024. u „Centar za pružanje usluga u zajednici Zagrebački centar za neovisno življenje“. Upisana je u registar Trgovačkog suda u Zagrebu 12. veljače  2018. godine pod brojem  MBS: 081150698. Novo rješenje Trgovačkog suda od 06. svibnja vezan uz promjenu naziva Centra. Nadalje, Upravno vijeće je u lipnju 2026. godine donijelo novi Statut kojim je promijenjen i ustroj Centra, a radi funkcionalnijeg i djelotvornijeg obavljanja poslova iz djelokruga Centra na način da su ustrojene dvije nove ustrojbene jedinice: odjel općih, pravnih i financijsko-računovodstvenih poslova i odjel pomoćno-tehničkih poslova. Nadalje, Odlukom Upravnog vijeća o izmjenama i dopunama Statuta u lipnju 2026. proširena je djelatnost Centra dodavanjem djelatnosti neformalnog obrazovanja odraslih. Sukladno  odredbama Statuta  (pročišćeni tekst) koji je donijelo Upravno vijeće Centra na sjednici od 09. travnja 2024. godine u Centru je osnovana jedna Podružnica, koja je ustrojbena jedinica Centra. Naziv Podružnice je: Centar za pružanje usluga u zajednici Zagrebački centar za neovisno življenje, Podružnica Zapad (u daljnjem tekstu: Podružnica). Sjedište Podružnice je u Zagrebu, Antuna Šoljana 31. (Špansko). Podružnica je  upisana  u sudski registra Trgovačkog suda u Zagrebu 09. svibnja 2024. godine. U Centru su ustrojene sljedeće ustrojbene jedinice: odjel organiziranog stanovanja, odjel razvojne i psihosocijalne rehabilitacije, Podružnica Zapad, odjel općih, pravnih i financijsko-računovodstvenih poslova i odjel pomoćno-tehničkih poslova . Osoba ovlaštena za pojedinačno i samostalno zastupanje ustanove je ravnateljica Vlatka Tucelj Omeragić, a ujedno je i odgovorna osoba za potpisivanje i predaju financijskih izvještaja. Odgovorna osoba za sastavljanje i predaju financijskih izvještaja je voditeljica računovodstva Lucija Čuljak. Financijski izvještaji sastavljeni su u skladu s odredbama Pravilnika o financijskom izvještavanju u proračunskom računovodstvu( Narodne novine, broj 37/22), Pravilnika o proračunskom računovodstvu i računskom planu(Narodne novine, broj 158/23 i 154/24), Zakona o proračunu (Narodne novine, broj 144/21).  Za izvještajno razdoblje od 01. siječnja do 30. lipnja 2026. godine proračunski korisnik jedinice lokalne i područne (regionalne) samouprave je obvezan predati sljedeće financijske izvještaje: Izvještaj o prihodima i rashodima, primicima i izdacima na obrascu PR-RAS; Izvještaj o obvezama na obrascu OBVEZE ; Izvještaj o EU sredstvima na obrascu EU izvještaj i Bilješke uz financijske izvještaje.</w:t>
      </w:r>
    </w:p>
    <w:p w:rsidR="00E061FA" w:rsidRDefault="002E610D">
      <w:r>
        <w:t> </w:t>
      </w:r>
    </w:p>
    <w:p w:rsidR="00E061FA" w:rsidRDefault="002E610D">
      <w:r>
        <w:t> </w:t>
      </w:r>
    </w:p>
    <w:p w:rsidR="00E061FA" w:rsidRDefault="002E610D">
      <w:r>
        <w:br/>
      </w:r>
    </w:p>
    <w:p w:rsidR="00E061FA" w:rsidRDefault="002E610D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304.864,87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359.574,36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117,9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 xml:space="preserve">Na oznaci prihoda 6361 prikazana su doznačena sredstva za redovne potrebe rashoda Centra doznačenih od Ministarstva rada, mirovinskog sustava, obitelji i socijalne politike u ukupnom iznosu 359.574,36 eura sa indeksom povećanja od 117,9 u odnosu na isto razdoblje prethodne </w:t>
      </w:r>
      <w:r>
        <w:lastRenderedPageBreak/>
        <w:t>godine. Razlog povećanog indeksa odnosi se na veći broj pruženih usluga u odnosu na isto razdoblje prethodne godine sukladno povećanom prostornom kapacitetu Centra koji je u funkciji od početka godine kao i većem broju stručnih radnika koji su zaposleni tijekom 2025. godine.</w:t>
      </w:r>
    </w:p>
    <w:p w:rsidR="00E061FA" w:rsidRDefault="00E061FA"/>
    <w:p w:rsidR="00E061FA" w:rsidRDefault="002E610D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279,5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>na oznaci prihoda  6526 Ostali nespomenuti prihodi sa indeksom povećanja od 279,5 % odnosi se na mjesečna potraživanja za bolovanja radnika. (usklade HZZO)</w:t>
      </w:r>
    </w:p>
    <w:p w:rsidR="00E061FA" w:rsidRDefault="00E061FA"/>
    <w:p w:rsidR="00E061FA" w:rsidRDefault="002E610D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>Na oznaci prihoda 6631 Tekuće donacije sa ukupnim ostvarenim iznosom od 1.350,00 eura odnosi se na donaciju Zaklade ICF. Zaklada u skladu sa svojom svrhom pomaganja projekata i programa za pomoć obiteljima, skrbnicima, edukatorima i rehabilitatorima djece s posebnim potrebama Centru donira navedena sredstva.</w:t>
      </w:r>
    </w:p>
    <w:p w:rsidR="00E061FA" w:rsidRDefault="00E061FA"/>
    <w:p w:rsidR="00E061FA" w:rsidRDefault="002E610D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1.407.120,00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1.620.780,00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115,2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>Na oznaci prihoda 671 prikazani su ostvareni prihodi Osnivača Centra-Grad Zagreb u ukupnom iznosu od 1.620.780,00 eura sa indeksom povećanja od 115,2 u odnosu na isto razdoblje prethodne godine. Razlog povećanja prihoda odnosi se na povećani broj radnika u odnosu na isto razdoblje prethodne godine, kao i proširenje prostornog kapaciteta Centra što uzrokuje povećane potrebe financijskih sredstava za financiranje redovnih rashoda poslovanja Centra. </w:t>
      </w:r>
    </w:p>
    <w:p w:rsidR="00E061FA" w:rsidRDefault="00E061FA"/>
    <w:p w:rsidR="00E061FA" w:rsidRDefault="002E610D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1.293.817,46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1.617.620,09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125,0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>Na oznaci rashoda poslovanja za zaposlene odjeljak 31 indeks povećanja od 125,0 % u odnosu na isto razdoblje prethodne godine odnosi se na veći broj radnika sukladno povećanom prostornom kapacitetu Centra što uzrokuje veće rashode poslovanja koje terete odjeljak 31 (plaće, materijalna prava, doprinosi, i dr.)</w:t>
      </w:r>
    </w:p>
    <w:p w:rsidR="00E061FA" w:rsidRDefault="00E061FA"/>
    <w:p w:rsidR="00E061FA" w:rsidRDefault="002E610D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15.245,76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18.857,74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123,7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>Na oznaci 3223 Energija indeks povećanja od 123,7 posto u odnosu na isto razdoblje prethodne godine, odnosi se na povećanje troškova režija (povećanje prostornog kapaciteta, generalno povećanje cijena energenata), povećanje broja službenih vozila rezultira povećanjem rashoda za gorivo.</w:t>
      </w:r>
    </w:p>
    <w:p w:rsidR="00E061FA" w:rsidRDefault="00E061FA"/>
    <w:p w:rsidR="00E061FA" w:rsidRDefault="002E610D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6.098,19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11.887,73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194,9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>Na oznaci rashoda 3235 Zakupnine i najamnine indeks od 194,9 % u odnosu na isto razdoblje prethodne godine. Razlog povećanja su rashodi za 2 parkirna mjesta namjenjena službenim vozilima Centra koja terete 2026. godinu.</w:t>
      </w:r>
    </w:p>
    <w:p w:rsidR="00E061FA" w:rsidRDefault="00E061FA"/>
    <w:p w:rsidR="00E061FA" w:rsidRDefault="002E610D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252,72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1.184,77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468,8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 xml:space="preserve">Na oznaci 3293 Reprezentacija indeks povećanja od 468,8 % u odnosu na isto razdoblje prethodne godine. Povećanje rashoda odnosi se na veći broj održanih sjednica Upravnog </w:t>
      </w:r>
      <w:r>
        <w:lastRenderedPageBreak/>
        <w:t>vijeća te organizaciju radnih sastanaka i službenih prijema s predstavnicima institucija i poslovnim partnerima u okviru redovnog poslovanja Centra.</w:t>
      </w:r>
    </w:p>
    <w:p w:rsidR="00E061FA" w:rsidRDefault="00E061FA"/>
    <w:p w:rsidR="00E061FA" w:rsidRDefault="002E610D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E061F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275.513,33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190.779,77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69,2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>U izvještajnom razdoblju ostvaren je višak prihoda poslovanja u iznosu od 190.779,77 eura koji se odnosi na sredstva namjenjena nabavi nefinancijske imovine čiji je početak provođenja nabave u tijeku ili je planiran krajem 2026. godine(opremanje novog poslovnog prostora na adresi Brune Bjelinski 15) i dr. redovne rashode Centra koje terete drugo polugodište .</w:t>
      </w:r>
    </w:p>
    <w:p w:rsidR="00E061FA" w:rsidRDefault="00E061FA"/>
    <w:p w:rsidR="00E061FA" w:rsidRDefault="002E610D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E061FA" w:rsidRDefault="002E610D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061FA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061F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E061F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061FA" w:rsidRDefault="002E610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061FA" w:rsidRDefault="00E061FA">
      <w:pPr>
        <w:spacing w:after="0"/>
      </w:pPr>
    </w:p>
    <w:p w:rsidR="00E061FA" w:rsidRDefault="002E610D">
      <w:r>
        <w:t>U vezi obveza za razdoblje 01.01.-30.06.2026. godine izvješćujemo vas da smo sve obveze podmirili u roku dospjelosti. Stanje obveza na dan 30.06.2026. iznosi 294.986,85 eura.</w:t>
      </w:r>
    </w:p>
    <w:p w:rsidR="00E061FA" w:rsidRDefault="00E061FA"/>
    <w:p w:rsidR="000E2BF2" w:rsidRPr="00FB06A4" w:rsidRDefault="000E2BF2" w:rsidP="000E2BF2">
      <w:pPr>
        <w:jc w:val="both"/>
        <w:rPr>
          <w:rFonts w:ascii="Arial" w:hAnsi="Arial" w:cs="Arial"/>
          <w:sz w:val="22"/>
          <w:szCs w:val="22"/>
        </w:rPr>
      </w:pPr>
    </w:p>
    <w:p w:rsidR="000E2BF2" w:rsidRPr="00FB06A4" w:rsidRDefault="000E2BF2" w:rsidP="000E2BF2">
      <w:pPr>
        <w:pStyle w:val="NoSpacing"/>
        <w:ind w:left="-142"/>
        <w:rPr>
          <w:rFonts w:ascii="Arial" w:hAnsi="Arial" w:cs="Arial"/>
          <w:b/>
          <w:bCs/>
        </w:rPr>
      </w:pPr>
      <w:r w:rsidRPr="00FB06A4">
        <w:rPr>
          <w:rFonts w:ascii="Arial" w:hAnsi="Arial" w:cs="Arial"/>
          <w:b/>
          <w:bCs/>
        </w:rPr>
        <w:t>ODSTUPANJE OD FINANCIJSKOG PLANA ZA 202</w:t>
      </w:r>
      <w:r>
        <w:rPr>
          <w:rFonts w:ascii="Arial" w:hAnsi="Arial" w:cs="Arial"/>
          <w:b/>
          <w:bCs/>
        </w:rPr>
        <w:t>6</w:t>
      </w:r>
      <w:r w:rsidRPr="00FB06A4">
        <w:rPr>
          <w:rFonts w:ascii="Arial" w:hAnsi="Arial" w:cs="Arial"/>
          <w:b/>
          <w:bCs/>
        </w:rPr>
        <w:t>. GODINU</w:t>
      </w:r>
    </w:p>
    <w:p w:rsidR="000E2BF2" w:rsidRPr="00FB06A4" w:rsidRDefault="000E2BF2" w:rsidP="000E2BF2">
      <w:pPr>
        <w:pStyle w:val="NoSpacing"/>
        <w:ind w:left="-142" w:firstLine="142"/>
        <w:jc w:val="both"/>
        <w:rPr>
          <w:rFonts w:ascii="Arial" w:hAnsi="Arial" w:cs="Arial"/>
          <w:b/>
          <w:bCs/>
        </w:rPr>
      </w:pPr>
    </w:p>
    <w:p w:rsidR="000E2BF2" w:rsidRPr="000E2BF2" w:rsidRDefault="000E2BF2" w:rsidP="000E2BF2">
      <w:pPr>
        <w:pStyle w:val="NoSpacing"/>
        <w:ind w:left="-142"/>
        <w:jc w:val="both"/>
        <w:rPr>
          <w:rFonts w:ascii="Arial" w:hAnsi="Arial" w:cs="Arial"/>
          <w:color w:val="000000" w:themeColor="text1"/>
        </w:rPr>
      </w:pPr>
      <w:r w:rsidRPr="00F439C1">
        <w:rPr>
          <w:rFonts w:ascii="Arial" w:hAnsi="Arial" w:cs="Arial"/>
          <w:color w:val="000000" w:themeColor="text1"/>
        </w:rPr>
        <w:t xml:space="preserve">Prihodi od Ministarstva planirani su na godišnjoj razini u iznosu od </w:t>
      </w:r>
      <w:r>
        <w:rPr>
          <w:rFonts w:ascii="Arial" w:hAnsi="Arial" w:cs="Arial"/>
          <w:color w:val="000000" w:themeColor="text1"/>
        </w:rPr>
        <w:t>640.000,00 eura</w:t>
      </w:r>
      <w:r w:rsidRPr="00F439C1">
        <w:rPr>
          <w:rFonts w:ascii="Arial" w:hAnsi="Arial" w:cs="Arial"/>
          <w:color w:val="000000" w:themeColor="text1"/>
        </w:rPr>
        <w:t xml:space="preserve"> dok je u razdoblju od 1. siječnja do 3</w:t>
      </w:r>
      <w:r>
        <w:rPr>
          <w:rFonts w:ascii="Arial" w:hAnsi="Arial" w:cs="Arial"/>
          <w:color w:val="000000" w:themeColor="text1"/>
        </w:rPr>
        <w:t>0</w:t>
      </w:r>
      <w:r w:rsidRPr="00F439C1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lipnja</w:t>
      </w:r>
      <w:r w:rsidRPr="00F439C1">
        <w:rPr>
          <w:rFonts w:ascii="Arial" w:hAnsi="Arial" w:cs="Arial"/>
          <w:color w:val="000000" w:themeColor="text1"/>
        </w:rPr>
        <w:t xml:space="preserve"> 202</w:t>
      </w:r>
      <w:r>
        <w:rPr>
          <w:rFonts w:ascii="Arial" w:hAnsi="Arial" w:cs="Arial"/>
          <w:color w:val="000000" w:themeColor="text1"/>
        </w:rPr>
        <w:t>6</w:t>
      </w:r>
      <w:r w:rsidRPr="00F439C1">
        <w:rPr>
          <w:rFonts w:ascii="Arial" w:hAnsi="Arial" w:cs="Arial"/>
          <w:color w:val="000000" w:themeColor="text1"/>
        </w:rPr>
        <w:t xml:space="preserve">. ostvareno </w:t>
      </w:r>
      <w:r>
        <w:rPr>
          <w:rFonts w:ascii="Arial" w:hAnsi="Arial" w:cs="Arial"/>
          <w:color w:val="000000" w:themeColor="text1"/>
        </w:rPr>
        <w:t>359.574,36 eura</w:t>
      </w:r>
      <w:r w:rsidRPr="00F439C1">
        <w:rPr>
          <w:rFonts w:ascii="Arial" w:hAnsi="Arial" w:cs="Arial"/>
          <w:color w:val="000000" w:themeColor="text1"/>
        </w:rPr>
        <w:t xml:space="preserve">, što čini </w:t>
      </w:r>
      <w:r>
        <w:rPr>
          <w:rFonts w:ascii="Arial" w:hAnsi="Arial" w:cs="Arial"/>
          <w:color w:val="000000" w:themeColor="text1"/>
        </w:rPr>
        <w:t>56,18</w:t>
      </w:r>
      <w:r w:rsidRPr="00F439C1">
        <w:rPr>
          <w:rFonts w:ascii="Arial" w:hAnsi="Arial" w:cs="Arial"/>
          <w:color w:val="000000" w:themeColor="text1"/>
        </w:rPr>
        <w:t xml:space="preserve"> % planiranog iznosa. </w:t>
      </w:r>
      <w:r w:rsidRPr="00C24A20">
        <w:rPr>
          <w:rFonts w:ascii="Arial" w:hAnsi="Arial" w:cs="Arial"/>
          <w:color w:val="000000" w:themeColor="text1"/>
        </w:rPr>
        <w:t xml:space="preserve">Prihodi iz proračuna Grada Zagreba planirani su u iznosu od </w:t>
      </w:r>
      <w:r>
        <w:rPr>
          <w:rFonts w:ascii="Arial" w:hAnsi="Arial" w:cs="Arial"/>
          <w:color w:val="000000" w:themeColor="text1"/>
        </w:rPr>
        <w:t>3.243.500,00</w:t>
      </w:r>
      <w:r w:rsidRPr="00C24A20">
        <w:rPr>
          <w:rFonts w:ascii="Arial" w:hAnsi="Arial" w:cs="Arial"/>
          <w:color w:val="000000" w:themeColor="text1"/>
        </w:rPr>
        <w:t xml:space="preserve"> eura, dok su ostvareni u iznosu od </w:t>
      </w:r>
      <w:r>
        <w:rPr>
          <w:rFonts w:ascii="Arial" w:hAnsi="Arial" w:cs="Arial"/>
          <w:color w:val="000000" w:themeColor="text1"/>
        </w:rPr>
        <w:t>1.509.379,73</w:t>
      </w:r>
      <w:r w:rsidRPr="00C24A20">
        <w:rPr>
          <w:rFonts w:ascii="Arial" w:hAnsi="Arial" w:cs="Arial"/>
          <w:color w:val="000000" w:themeColor="text1"/>
        </w:rPr>
        <w:t xml:space="preserve"> eura, što čini </w:t>
      </w:r>
      <w:r>
        <w:rPr>
          <w:rFonts w:ascii="Arial" w:hAnsi="Arial" w:cs="Arial"/>
          <w:color w:val="000000" w:themeColor="text1"/>
        </w:rPr>
        <w:t>46,53</w:t>
      </w:r>
      <w:r w:rsidRPr="00C24A20">
        <w:rPr>
          <w:rFonts w:ascii="Arial" w:hAnsi="Arial" w:cs="Arial"/>
          <w:color w:val="000000" w:themeColor="text1"/>
        </w:rPr>
        <w:t xml:space="preserve"> % planiranog iznosa. </w:t>
      </w:r>
      <w:r w:rsidRPr="000E2BF2">
        <w:rPr>
          <w:rFonts w:ascii="Arial" w:hAnsi="Arial" w:cs="Arial"/>
          <w:color w:val="000000" w:themeColor="text1"/>
        </w:rPr>
        <w:t>Odstupanje u odnosu na plan evidentirano je kod prihoda od donacija, budući da je tijekom izvještajnog razdoblja ostvarena donacija u iznosu od 1.350,00 eura koja nije bila planirana financijskim planom</w:t>
      </w:r>
      <w:bookmarkStart w:id="0" w:name="_GoBack"/>
      <w:bookmarkEnd w:id="0"/>
      <w:r w:rsidRPr="000E2BF2">
        <w:rPr>
          <w:rFonts w:ascii="Arial" w:hAnsi="Arial" w:cs="Arial"/>
          <w:color w:val="000000" w:themeColor="text1"/>
        </w:rPr>
        <w:t>.</w:t>
      </w:r>
    </w:p>
    <w:p w:rsidR="000E2BF2" w:rsidRDefault="000E2BF2" w:rsidP="000E2BF2">
      <w:pPr>
        <w:pStyle w:val="NoSpacing"/>
        <w:ind w:left="-142"/>
        <w:jc w:val="both"/>
        <w:rPr>
          <w:rFonts w:ascii="Arial" w:hAnsi="Arial" w:cs="Arial"/>
          <w:color w:val="000000" w:themeColor="text1"/>
        </w:rPr>
      </w:pPr>
      <w:r w:rsidRPr="000E2BF2">
        <w:rPr>
          <w:rFonts w:ascii="Arial" w:hAnsi="Arial" w:cs="Arial"/>
          <w:color w:val="000000" w:themeColor="text1"/>
        </w:rPr>
        <w:t xml:space="preserve">Osim navedenog odstupanja, nisu utvrđena značajnija odstupanja između planiranih i ostvarenih prihoda u </w:t>
      </w:r>
      <w:r w:rsidR="006E760F">
        <w:rPr>
          <w:rFonts w:ascii="Arial" w:hAnsi="Arial" w:cs="Arial"/>
          <w:color w:val="000000" w:themeColor="text1"/>
        </w:rPr>
        <w:t xml:space="preserve">polugodišnjem </w:t>
      </w:r>
      <w:r w:rsidRPr="000E2BF2">
        <w:rPr>
          <w:rFonts w:ascii="Arial" w:hAnsi="Arial" w:cs="Arial"/>
          <w:color w:val="000000" w:themeColor="text1"/>
        </w:rPr>
        <w:t>izvještajnom razdoblju.</w:t>
      </w:r>
    </w:p>
    <w:p w:rsidR="000E2BF2" w:rsidRDefault="006E76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760F" w:rsidRDefault="006E760F"/>
    <w:p w:rsidR="006E760F" w:rsidRDefault="006E76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:rsidR="006E760F" w:rsidRDefault="006E76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6E760F" w:rsidRDefault="006E76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Vlatka Tucelj Omeragić,</w:t>
      </w:r>
      <w:r w:rsidRPr="006E760F">
        <w:t xml:space="preserve"> </w:t>
      </w:r>
      <w:r>
        <w:t>d</w:t>
      </w:r>
      <w:r>
        <w:t>ipl.soc.rad.</w:t>
      </w:r>
    </w:p>
    <w:p w:rsidR="006E760F" w:rsidRDefault="006E760F"/>
    <w:sectPr w:rsidR="006E7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FA"/>
    <w:rsid w:val="000E2BF2"/>
    <w:rsid w:val="002E610D"/>
    <w:rsid w:val="006E760F"/>
    <w:rsid w:val="00E0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EED4"/>
  <w15:docId w15:val="{D9587C57-E824-43E1-A2AD-A2DC27A9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2BF2"/>
    <w:pPr>
      <w:spacing w:after="0" w:line="240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lculjak</dc:creator>
  <cp:lastModifiedBy>korisnik</cp:lastModifiedBy>
  <cp:revision>2</cp:revision>
  <dcterms:created xsi:type="dcterms:W3CDTF">2026-07-15T08:43:00Z</dcterms:created>
  <dcterms:modified xsi:type="dcterms:W3CDTF">2026-07-15T08:43:00Z</dcterms:modified>
</cp:coreProperties>
</file>