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B4A" w:rsidRPr="00C01820" w:rsidRDefault="008B3B4A" w:rsidP="008B3B4A">
      <w:pPr>
        <w:rPr>
          <w:b/>
          <w:sz w:val="16"/>
          <w:szCs w:val="16"/>
        </w:rPr>
      </w:pPr>
      <w:r w:rsidRPr="00C01820">
        <w:rPr>
          <w:b/>
          <w:sz w:val="16"/>
          <w:szCs w:val="16"/>
        </w:rPr>
        <w:t>REPUBLIKA HRVATSKA</w:t>
      </w:r>
    </w:p>
    <w:p w:rsidR="008B3B4A" w:rsidRPr="00C01820" w:rsidRDefault="008B3B4A" w:rsidP="008B3B4A">
      <w:pPr>
        <w:rPr>
          <w:b/>
          <w:sz w:val="16"/>
          <w:szCs w:val="16"/>
        </w:rPr>
      </w:pPr>
      <w:r w:rsidRPr="00C01820">
        <w:rPr>
          <w:b/>
          <w:sz w:val="16"/>
          <w:szCs w:val="16"/>
        </w:rPr>
        <w:t>GRAD ZAGREB</w:t>
      </w:r>
    </w:p>
    <w:p w:rsidR="008B3B4A" w:rsidRPr="00C01820" w:rsidRDefault="008B3B4A" w:rsidP="008B3B4A">
      <w:pPr>
        <w:rPr>
          <w:b/>
          <w:sz w:val="16"/>
          <w:szCs w:val="16"/>
        </w:rPr>
      </w:pPr>
      <w:r w:rsidRPr="00C01820">
        <w:rPr>
          <w:b/>
          <w:sz w:val="16"/>
          <w:szCs w:val="16"/>
        </w:rPr>
        <w:t>021 GRADSKI URED ZA SOCIJALNU ZAŠTITU, ZDRAVSTVO, BRANITELJE I OSOBE S INVALIDITETOM</w:t>
      </w:r>
    </w:p>
    <w:p w:rsidR="008B3B4A" w:rsidRPr="00C01820" w:rsidRDefault="008B3B4A" w:rsidP="008B3B4A">
      <w:pPr>
        <w:rPr>
          <w:b/>
          <w:sz w:val="16"/>
          <w:szCs w:val="16"/>
        </w:rPr>
      </w:pPr>
      <w:r w:rsidRPr="00C01820">
        <w:rPr>
          <w:b/>
          <w:sz w:val="16"/>
          <w:szCs w:val="16"/>
        </w:rPr>
        <w:t xml:space="preserve">GLAVA 02102 CENTAR ZA PRUŽANJE USLUGA U ZAJEDNICI </w:t>
      </w:r>
      <w:r w:rsidR="00F61B37" w:rsidRPr="00C01820">
        <w:rPr>
          <w:b/>
          <w:sz w:val="16"/>
          <w:szCs w:val="16"/>
        </w:rPr>
        <w:t>ZAGREBAČKI CENTAR ZA NEOVISNO ŽIVLJENJE</w:t>
      </w:r>
    </w:p>
    <w:p w:rsidR="008B3B4A" w:rsidRPr="00C01820" w:rsidRDefault="008B3B4A" w:rsidP="008B3B4A">
      <w:pPr>
        <w:rPr>
          <w:b/>
          <w:sz w:val="16"/>
          <w:szCs w:val="16"/>
        </w:rPr>
      </w:pPr>
      <w:r w:rsidRPr="00C01820">
        <w:rPr>
          <w:b/>
          <w:sz w:val="16"/>
          <w:szCs w:val="16"/>
        </w:rPr>
        <w:t xml:space="preserve">50223 CENTAR ZA PRUŽANJE </w:t>
      </w:r>
      <w:r w:rsidR="00AD7C6C" w:rsidRPr="00C01820">
        <w:rPr>
          <w:b/>
          <w:sz w:val="16"/>
          <w:szCs w:val="16"/>
        </w:rPr>
        <w:t>USLUGA U ZAJEDNICI ZAGREBAČKI CENTAR ZA NEOVISNO ŽIVLJENJE</w:t>
      </w:r>
    </w:p>
    <w:p w:rsidR="008B3B4A" w:rsidRPr="00C01820" w:rsidRDefault="008B3B4A" w:rsidP="008B3B4A">
      <w:pPr>
        <w:rPr>
          <w:b/>
          <w:sz w:val="16"/>
          <w:szCs w:val="16"/>
        </w:rPr>
      </w:pPr>
      <w:r w:rsidRPr="00C01820">
        <w:rPr>
          <w:b/>
          <w:sz w:val="16"/>
          <w:szCs w:val="16"/>
        </w:rPr>
        <w:t>PROGRAM 2121 JAVNA UPRAVA I ADMINISTRACIJA</w:t>
      </w:r>
    </w:p>
    <w:p w:rsidR="008B3B4A" w:rsidRPr="00C01820" w:rsidRDefault="008B3B4A" w:rsidP="008B3B4A">
      <w:pPr>
        <w:rPr>
          <w:b/>
          <w:sz w:val="16"/>
          <w:szCs w:val="16"/>
        </w:rPr>
      </w:pPr>
      <w:r w:rsidRPr="00C01820">
        <w:rPr>
          <w:b/>
          <w:sz w:val="16"/>
          <w:szCs w:val="16"/>
        </w:rPr>
        <w:t>AKTIVNOST A212101 REDOVNA DJELATNOST PRORAČUNSKIH KORISNIKA</w:t>
      </w:r>
    </w:p>
    <w:p w:rsidR="008B3B4A" w:rsidRPr="00C01820" w:rsidRDefault="008B3B4A" w:rsidP="008B3B4A">
      <w:pPr>
        <w:rPr>
          <w:sz w:val="16"/>
          <w:szCs w:val="16"/>
        </w:rPr>
      </w:pPr>
      <w:r w:rsidRPr="00C01820">
        <w:rPr>
          <w:b/>
          <w:sz w:val="16"/>
          <w:szCs w:val="16"/>
        </w:rPr>
        <w:t>FUNKCIJSKA KLASIFIKACIJA 1012 INVALIDITET</w:t>
      </w:r>
    </w:p>
    <w:p w:rsidR="00D01C79" w:rsidRPr="00C01820" w:rsidRDefault="00D01C79" w:rsidP="00D01C79"/>
    <w:tbl>
      <w:tblPr>
        <w:tblW w:w="3048" w:type="dxa"/>
        <w:tblInd w:w="93" w:type="dxa"/>
        <w:tblLook w:val="04A0" w:firstRow="1" w:lastRow="0" w:firstColumn="1" w:lastColumn="0" w:noHBand="0" w:noVBand="1"/>
      </w:tblPr>
      <w:tblGrid>
        <w:gridCol w:w="2097"/>
        <w:gridCol w:w="1536"/>
      </w:tblGrid>
      <w:tr w:rsidR="008B3B4A" w:rsidRPr="00C01820" w:rsidTr="008B3B4A">
        <w:trPr>
          <w:trHeight w:val="231"/>
        </w:trPr>
        <w:tc>
          <w:tcPr>
            <w:tcW w:w="1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3B4A" w:rsidRPr="00C01820" w:rsidRDefault="008B3B4A" w:rsidP="00AD7C6C">
            <w:pPr>
              <w:jc w:val="right"/>
              <w:rPr>
                <w:b/>
                <w:bCs/>
              </w:rPr>
            </w:pPr>
            <w:r w:rsidRPr="00C01820">
              <w:rPr>
                <w:b/>
              </w:rPr>
              <w:t>MBS</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rsidR="008B3B4A" w:rsidRPr="00C01820" w:rsidRDefault="008B3B4A" w:rsidP="00AD7C6C">
            <w:pPr>
              <w:jc w:val="right"/>
            </w:pPr>
            <w:r w:rsidRPr="00C01820">
              <w:t>081150698</w:t>
            </w:r>
          </w:p>
        </w:tc>
      </w:tr>
      <w:tr w:rsidR="008B3B4A" w:rsidRPr="00C01820" w:rsidTr="008B3B4A">
        <w:trPr>
          <w:trHeight w:val="231"/>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8B3B4A" w:rsidRPr="00C01820" w:rsidRDefault="008B3B4A" w:rsidP="00AD7C6C">
            <w:pPr>
              <w:jc w:val="right"/>
              <w:rPr>
                <w:b/>
                <w:bCs/>
              </w:rPr>
            </w:pPr>
            <w:r w:rsidRPr="00C01820">
              <w:rPr>
                <w:b/>
              </w:rPr>
              <w:t xml:space="preserve">OIB </w:t>
            </w:r>
          </w:p>
        </w:tc>
        <w:tc>
          <w:tcPr>
            <w:tcW w:w="1331" w:type="dxa"/>
            <w:tcBorders>
              <w:top w:val="nil"/>
              <w:left w:val="nil"/>
              <w:bottom w:val="single" w:sz="4" w:space="0" w:color="auto"/>
              <w:right w:val="single" w:sz="4" w:space="0" w:color="auto"/>
            </w:tcBorders>
            <w:shd w:val="clear" w:color="auto" w:fill="auto"/>
            <w:noWrap/>
            <w:vAlign w:val="bottom"/>
            <w:hideMark/>
          </w:tcPr>
          <w:p w:rsidR="008B3B4A" w:rsidRPr="00C01820" w:rsidRDefault="008B3B4A" w:rsidP="00AD7C6C">
            <w:pPr>
              <w:jc w:val="right"/>
            </w:pPr>
            <w:r w:rsidRPr="00C01820">
              <w:t>68441960124</w:t>
            </w:r>
          </w:p>
        </w:tc>
      </w:tr>
      <w:tr w:rsidR="008B3B4A" w:rsidRPr="00C01820" w:rsidTr="008B3B4A">
        <w:trPr>
          <w:trHeight w:val="231"/>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8B3B4A" w:rsidRPr="00C01820" w:rsidRDefault="008B3B4A" w:rsidP="00AD7C6C">
            <w:pPr>
              <w:jc w:val="right"/>
              <w:rPr>
                <w:b/>
                <w:bCs/>
              </w:rPr>
            </w:pPr>
            <w:r w:rsidRPr="00C01820">
              <w:rPr>
                <w:b/>
              </w:rPr>
              <w:t>RKP BROJ</w:t>
            </w:r>
          </w:p>
        </w:tc>
        <w:tc>
          <w:tcPr>
            <w:tcW w:w="1331" w:type="dxa"/>
            <w:tcBorders>
              <w:top w:val="nil"/>
              <w:left w:val="nil"/>
              <w:bottom w:val="single" w:sz="4" w:space="0" w:color="auto"/>
              <w:right w:val="single" w:sz="4" w:space="0" w:color="auto"/>
            </w:tcBorders>
            <w:shd w:val="clear" w:color="auto" w:fill="auto"/>
            <w:noWrap/>
            <w:vAlign w:val="bottom"/>
            <w:hideMark/>
          </w:tcPr>
          <w:p w:rsidR="008B3B4A" w:rsidRPr="00C01820" w:rsidRDefault="008B3B4A" w:rsidP="00AD7C6C">
            <w:pPr>
              <w:jc w:val="right"/>
            </w:pPr>
            <w:r w:rsidRPr="00C01820">
              <w:t>50223</w:t>
            </w:r>
          </w:p>
        </w:tc>
      </w:tr>
      <w:tr w:rsidR="008B3B4A" w:rsidRPr="00C01820" w:rsidTr="008B3B4A">
        <w:trPr>
          <w:trHeight w:val="231"/>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8B3B4A" w:rsidRPr="00C01820" w:rsidRDefault="008B3B4A" w:rsidP="00AD7C6C">
            <w:pPr>
              <w:jc w:val="right"/>
              <w:rPr>
                <w:b/>
                <w:bCs/>
              </w:rPr>
            </w:pPr>
            <w:r w:rsidRPr="00C01820">
              <w:rPr>
                <w:b/>
              </w:rPr>
              <w:t>ŠIFRA DJELATNOSTI</w:t>
            </w:r>
          </w:p>
        </w:tc>
        <w:tc>
          <w:tcPr>
            <w:tcW w:w="1331" w:type="dxa"/>
            <w:tcBorders>
              <w:top w:val="nil"/>
              <w:left w:val="nil"/>
              <w:bottom w:val="single" w:sz="4" w:space="0" w:color="auto"/>
              <w:right w:val="single" w:sz="4" w:space="0" w:color="auto"/>
            </w:tcBorders>
            <w:shd w:val="clear" w:color="auto" w:fill="auto"/>
            <w:noWrap/>
            <w:vAlign w:val="bottom"/>
            <w:hideMark/>
          </w:tcPr>
          <w:p w:rsidR="008B3B4A" w:rsidRPr="00C01820" w:rsidRDefault="008B3B4A" w:rsidP="00AD7C6C">
            <w:pPr>
              <w:jc w:val="right"/>
            </w:pPr>
            <w:r w:rsidRPr="00C01820">
              <w:t>87.30</w:t>
            </w:r>
          </w:p>
        </w:tc>
      </w:tr>
      <w:tr w:rsidR="008B3B4A" w:rsidRPr="00C01820" w:rsidTr="008B3B4A">
        <w:trPr>
          <w:trHeight w:val="231"/>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8B3B4A" w:rsidRPr="00C01820" w:rsidRDefault="008B3B4A" w:rsidP="00AD7C6C">
            <w:pPr>
              <w:jc w:val="right"/>
              <w:rPr>
                <w:b/>
                <w:bCs/>
              </w:rPr>
            </w:pPr>
            <w:r w:rsidRPr="00C01820">
              <w:rPr>
                <w:b/>
              </w:rPr>
              <w:t>RAZINA</w:t>
            </w:r>
          </w:p>
        </w:tc>
        <w:tc>
          <w:tcPr>
            <w:tcW w:w="1331" w:type="dxa"/>
            <w:tcBorders>
              <w:top w:val="nil"/>
              <w:left w:val="nil"/>
              <w:bottom w:val="single" w:sz="4" w:space="0" w:color="auto"/>
              <w:right w:val="single" w:sz="4" w:space="0" w:color="auto"/>
            </w:tcBorders>
            <w:shd w:val="clear" w:color="auto" w:fill="auto"/>
            <w:noWrap/>
            <w:vAlign w:val="bottom"/>
            <w:hideMark/>
          </w:tcPr>
          <w:p w:rsidR="008B3B4A" w:rsidRPr="00C01820" w:rsidRDefault="008B3B4A" w:rsidP="00AD7C6C">
            <w:pPr>
              <w:jc w:val="right"/>
            </w:pPr>
            <w:r w:rsidRPr="00C01820">
              <w:t>21</w:t>
            </w:r>
          </w:p>
        </w:tc>
      </w:tr>
      <w:tr w:rsidR="008B3B4A" w:rsidRPr="00C01820" w:rsidTr="008B3B4A">
        <w:trPr>
          <w:trHeight w:val="231"/>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8B3B4A" w:rsidRPr="00C01820" w:rsidRDefault="008B3B4A" w:rsidP="00AD7C6C">
            <w:pPr>
              <w:jc w:val="right"/>
              <w:rPr>
                <w:b/>
                <w:bCs/>
              </w:rPr>
            </w:pPr>
            <w:r w:rsidRPr="00C01820">
              <w:rPr>
                <w:b/>
              </w:rPr>
              <w:t>ŠIFRA GRADA/OPĆINE</w:t>
            </w:r>
          </w:p>
        </w:tc>
        <w:tc>
          <w:tcPr>
            <w:tcW w:w="1331" w:type="dxa"/>
            <w:tcBorders>
              <w:top w:val="nil"/>
              <w:left w:val="nil"/>
              <w:bottom w:val="single" w:sz="4" w:space="0" w:color="auto"/>
              <w:right w:val="single" w:sz="4" w:space="0" w:color="auto"/>
            </w:tcBorders>
            <w:shd w:val="clear" w:color="auto" w:fill="auto"/>
            <w:noWrap/>
            <w:vAlign w:val="bottom"/>
            <w:hideMark/>
          </w:tcPr>
          <w:p w:rsidR="008B3B4A" w:rsidRPr="00C01820" w:rsidRDefault="008B3B4A" w:rsidP="00AD7C6C">
            <w:pPr>
              <w:jc w:val="right"/>
            </w:pPr>
            <w:r w:rsidRPr="00C01820">
              <w:t xml:space="preserve">133- GRAD </w:t>
            </w:r>
          </w:p>
          <w:p w:rsidR="008B3B4A" w:rsidRPr="00C01820" w:rsidRDefault="008B3B4A" w:rsidP="00AD7C6C">
            <w:pPr>
              <w:jc w:val="right"/>
            </w:pPr>
            <w:r w:rsidRPr="00C01820">
              <w:t>ZAGREB</w:t>
            </w:r>
          </w:p>
        </w:tc>
      </w:tr>
    </w:tbl>
    <w:p w:rsidR="008B3B4A" w:rsidRPr="00C01820" w:rsidRDefault="008B3B4A" w:rsidP="00D01C79"/>
    <w:p w:rsidR="00D01C79" w:rsidRPr="00C01820" w:rsidRDefault="00D01C79" w:rsidP="00D01C79">
      <w:pPr>
        <w:rPr>
          <w:sz w:val="22"/>
          <w:szCs w:val="22"/>
        </w:rPr>
      </w:pPr>
    </w:p>
    <w:p w:rsidR="00D01C79" w:rsidRPr="00C01820" w:rsidRDefault="00D01C79" w:rsidP="00D01C79">
      <w:pPr>
        <w:rPr>
          <w:sz w:val="22"/>
          <w:szCs w:val="22"/>
        </w:rPr>
      </w:pPr>
    </w:p>
    <w:p w:rsidR="00D01C79" w:rsidRPr="00C01820" w:rsidRDefault="00D01C79" w:rsidP="00D01C79">
      <w:pPr>
        <w:pStyle w:val="Heading1"/>
        <w:tabs>
          <w:tab w:val="left" w:pos="0"/>
        </w:tabs>
        <w:jc w:val="center"/>
        <w:rPr>
          <w:rFonts w:ascii="Times New Roman" w:hAnsi="Times New Roman" w:cs="Times New Roman"/>
          <w:sz w:val="22"/>
          <w:szCs w:val="22"/>
        </w:rPr>
      </w:pPr>
    </w:p>
    <w:p w:rsidR="009E730D" w:rsidRPr="00C01820" w:rsidRDefault="008115ED" w:rsidP="00C01820">
      <w:pPr>
        <w:pStyle w:val="Heading1"/>
        <w:tabs>
          <w:tab w:val="left" w:pos="0"/>
        </w:tabs>
        <w:ind w:left="1416"/>
        <w:jc w:val="center"/>
        <w:rPr>
          <w:rFonts w:ascii="Times New Roman" w:hAnsi="Times New Roman" w:cs="Times New Roman"/>
          <w:szCs w:val="24"/>
        </w:rPr>
      </w:pPr>
      <w:r w:rsidRPr="00C01820">
        <w:rPr>
          <w:rFonts w:ascii="Times New Roman" w:hAnsi="Times New Roman" w:cs="Times New Roman"/>
          <w:szCs w:val="24"/>
        </w:rPr>
        <w:t>Obrazloženje</w:t>
      </w:r>
      <w:r w:rsidR="002C45A5" w:rsidRPr="00C01820">
        <w:rPr>
          <w:rFonts w:ascii="Times New Roman" w:hAnsi="Times New Roman" w:cs="Times New Roman"/>
          <w:szCs w:val="24"/>
        </w:rPr>
        <w:t xml:space="preserve"> prijedloga</w:t>
      </w:r>
      <w:r w:rsidR="00D01C79" w:rsidRPr="00C01820">
        <w:rPr>
          <w:rFonts w:ascii="Times New Roman" w:hAnsi="Times New Roman" w:cs="Times New Roman"/>
          <w:szCs w:val="24"/>
        </w:rPr>
        <w:t xml:space="preserve"> izvještaja o izvršenju Financijskog plana </w:t>
      </w:r>
      <w:r w:rsidR="00C01820">
        <w:rPr>
          <w:rFonts w:ascii="Times New Roman" w:hAnsi="Times New Roman" w:cs="Times New Roman"/>
          <w:szCs w:val="24"/>
        </w:rPr>
        <w:t xml:space="preserve">Centra </w:t>
      </w:r>
      <w:r w:rsidRPr="00C01820">
        <w:rPr>
          <w:rFonts w:ascii="Times New Roman" w:hAnsi="Times New Roman" w:cs="Times New Roman"/>
          <w:szCs w:val="24"/>
        </w:rPr>
        <w:t xml:space="preserve">ZAC </w:t>
      </w:r>
      <w:r w:rsidR="00D01C79" w:rsidRPr="00C01820">
        <w:rPr>
          <w:rFonts w:ascii="Times New Roman" w:hAnsi="Times New Roman" w:cs="Times New Roman"/>
          <w:szCs w:val="24"/>
        </w:rPr>
        <w:t>za razdoblje</w:t>
      </w:r>
    </w:p>
    <w:p w:rsidR="00D01C79" w:rsidRPr="00C01820" w:rsidRDefault="00C01820" w:rsidP="00C01820">
      <w:pPr>
        <w:pStyle w:val="Heading1"/>
        <w:tabs>
          <w:tab w:val="left" w:pos="0"/>
        </w:tabs>
        <w:jc w:val="center"/>
        <w:rPr>
          <w:rFonts w:ascii="Times New Roman" w:hAnsi="Times New Roman" w:cs="Times New Roman"/>
          <w:b w:val="0"/>
          <w:szCs w:val="24"/>
        </w:rPr>
      </w:pPr>
      <w:r>
        <w:rPr>
          <w:rFonts w:ascii="Times New Roman" w:hAnsi="Times New Roman" w:cs="Times New Roman"/>
          <w:szCs w:val="24"/>
        </w:rPr>
        <w:t xml:space="preserve">                         </w:t>
      </w:r>
      <w:r w:rsidR="00E259ED" w:rsidRPr="00C01820">
        <w:rPr>
          <w:rFonts w:ascii="Times New Roman" w:hAnsi="Times New Roman" w:cs="Times New Roman"/>
          <w:szCs w:val="24"/>
        </w:rPr>
        <w:t>1.1.</w:t>
      </w:r>
      <w:r w:rsidR="006A46BE" w:rsidRPr="00C01820">
        <w:rPr>
          <w:rFonts w:ascii="Times New Roman" w:hAnsi="Times New Roman" w:cs="Times New Roman"/>
          <w:szCs w:val="24"/>
        </w:rPr>
        <w:t>202</w:t>
      </w:r>
      <w:r w:rsidR="003E607D" w:rsidRPr="00C01820">
        <w:rPr>
          <w:rFonts w:ascii="Times New Roman" w:hAnsi="Times New Roman" w:cs="Times New Roman"/>
          <w:szCs w:val="24"/>
        </w:rPr>
        <w:t>6</w:t>
      </w:r>
      <w:r w:rsidR="006A46BE" w:rsidRPr="00C01820">
        <w:rPr>
          <w:rFonts w:ascii="Times New Roman" w:hAnsi="Times New Roman" w:cs="Times New Roman"/>
          <w:szCs w:val="24"/>
        </w:rPr>
        <w:t>.</w:t>
      </w:r>
      <w:r w:rsidR="002C45A5" w:rsidRPr="00C01820">
        <w:rPr>
          <w:rFonts w:ascii="Times New Roman" w:hAnsi="Times New Roman" w:cs="Times New Roman"/>
          <w:szCs w:val="24"/>
        </w:rPr>
        <w:t>-3</w:t>
      </w:r>
      <w:r w:rsidR="003E607D" w:rsidRPr="00C01820">
        <w:rPr>
          <w:rFonts w:ascii="Times New Roman" w:hAnsi="Times New Roman" w:cs="Times New Roman"/>
          <w:szCs w:val="24"/>
        </w:rPr>
        <w:t>0.06</w:t>
      </w:r>
      <w:r w:rsidR="00D01C79" w:rsidRPr="00C01820">
        <w:rPr>
          <w:rFonts w:ascii="Times New Roman" w:hAnsi="Times New Roman" w:cs="Times New Roman"/>
          <w:szCs w:val="24"/>
        </w:rPr>
        <w:t>.202</w:t>
      </w:r>
      <w:r w:rsidR="003E607D" w:rsidRPr="00C01820">
        <w:rPr>
          <w:rFonts w:ascii="Times New Roman" w:hAnsi="Times New Roman" w:cs="Times New Roman"/>
          <w:szCs w:val="24"/>
        </w:rPr>
        <w:t>6</w:t>
      </w:r>
      <w:r w:rsidR="00D01C79" w:rsidRPr="00C01820">
        <w:rPr>
          <w:rFonts w:ascii="Times New Roman" w:hAnsi="Times New Roman" w:cs="Times New Roman"/>
          <w:szCs w:val="24"/>
        </w:rPr>
        <w:t>.</w:t>
      </w:r>
    </w:p>
    <w:p w:rsidR="00D01C79" w:rsidRPr="00C01820" w:rsidRDefault="00D01C79" w:rsidP="00D01C79">
      <w:pPr>
        <w:pStyle w:val="Heading1"/>
        <w:jc w:val="both"/>
        <w:rPr>
          <w:rFonts w:ascii="Times New Roman" w:hAnsi="Times New Roman" w:cs="Times New Roman"/>
          <w:szCs w:val="24"/>
          <w:u w:val="single"/>
        </w:rPr>
      </w:pPr>
    </w:p>
    <w:p w:rsidR="00E6058A" w:rsidRPr="00C01820" w:rsidRDefault="00E6058A" w:rsidP="00E6058A">
      <w:pPr>
        <w:jc w:val="both"/>
      </w:pPr>
      <w:r w:rsidRPr="00C01820">
        <w:t>Izvještaj o izvršenju financijskog plana Centra ZAC sastavljen je sukladno Zakonu o proračunu (Narodne novine, broj 144/21) i Pravilniku o polugodišnjem i godišnjem izvještaju o izvršenju proračuna i financijskog plana (Narodne novine, broj 85/2023).</w:t>
      </w:r>
    </w:p>
    <w:p w:rsidR="00AB3CF8" w:rsidRPr="00C01820" w:rsidRDefault="00E6058A" w:rsidP="00E6058A">
      <w:pPr>
        <w:jc w:val="both"/>
      </w:pPr>
      <w:r w:rsidRPr="00C01820">
        <w:t>Prema članku 42. st. 1 Pravilnika o polugodišnjem i godišnjem izvještaju o izvršenju proračuna i financijskog plana (Narodne novine, broj 85/2023), obrazloženje godišnjeg izvještaja o izvršenju financijskog plana sastoji se od obrazloženja općeg dijela izvještaja o izvršenju financijskog plana proračunskog i izvanproračunskog korisnika.</w:t>
      </w:r>
    </w:p>
    <w:p w:rsidR="00AB3CF8" w:rsidRPr="00C01820" w:rsidRDefault="00AB3CF8" w:rsidP="00D01C79">
      <w:pPr>
        <w:jc w:val="both"/>
      </w:pPr>
      <w:r w:rsidRPr="00C01820">
        <w:t xml:space="preserve">Iznosi u stupcu „Ostvarenje/ Izvršenje </w:t>
      </w:r>
      <w:r w:rsidR="00E6058A" w:rsidRPr="00C01820">
        <w:t>20</w:t>
      </w:r>
      <w:r w:rsidRPr="00C01820">
        <w:t>2</w:t>
      </w:r>
      <w:r w:rsidR="00E543BB" w:rsidRPr="00C01820">
        <w:t>5</w:t>
      </w:r>
      <w:r w:rsidRPr="00C01820">
        <w:t>.“ odnose se na razdoblje 1.1.-3</w:t>
      </w:r>
      <w:r w:rsidR="00E543BB" w:rsidRPr="00C01820">
        <w:t>0.06</w:t>
      </w:r>
      <w:r w:rsidRPr="00C01820">
        <w:t>.202</w:t>
      </w:r>
      <w:r w:rsidR="00E543BB" w:rsidRPr="00C01820">
        <w:t>5</w:t>
      </w:r>
      <w:r w:rsidRPr="00C01820">
        <w:t>.</w:t>
      </w:r>
    </w:p>
    <w:p w:rsidR="00AB3CF8" w:rsidRPr="00C01820" w:rsidRDefault="007C00BC" w:rsidP="00D01C79">
      <w:pPr>
        <w:jc w:val="both"/>
      </w:pPr>
      <w:r w:rsidRPr="00C01820">
        <w:t>U stupcu „Tekući plan 202</w:t>
      </w:r>
      <w:r w:rsidR="00E543BB" w:rsidRPr="00C01820">
        <w:t>6</w:t>
      </w:r>
      <w:r w:rsidR="00AB3CF8" w:rsidRPr="00C01820">
        <w:t>.“ prikazani su iznosi izvornog financijskog plana za 202</w:t>
      </w:r>
      <w:r w:rsidR="00E543BB" w:rsidRPr="00C01820">
        <w:t>6</w:t>
      </w:r>
      <w:r w:rsidRPr="00C01820">
        <w:t>. godinu.</w:t>
      </w:r>
    </w:p>
    <w:p w:rsidR="00AB3CF8" w:rsidRPr="00C01820" w:rsidRDefault="00AB3CF8" w:rsidP="00D01C79">
      <w:pPr>
        <w:jc w:val="both"/>
      </w:pPr>
      <w:r w:rsidRPr="00C01820">
        <w:t>U stupcu „Ostvarenje/Izvršenje“ iskazano je izvršenje financijskog plana za razdoblje 1.1.-3</w:t>
      </w:r>
      <w:r w:rsidR="00E543BB" w:rsidRPr="00C01820">
        <w:t>0</w:t>
      </w:r>
      <w:r w:rsidRPr="00C01820">
        <w:t>.</w:t>
      </w:r>
      <w:r w:rsidR="00E543BB" w:rsidRPr="00C01820">
        <w:t>06</w:t>
      </w:r>
      <w:r w:rsidRPr="00C01820">
        <w:t>.202</w:t>
      </w:r>
      <w:r w:rsidR="00E543BB" w:rsidRPr="00C01820">
        <w:t>6</w:t>
      </w:r>
      <w:r w:rsidRPr="00C01820">
        <w:t>.</w:t>
      </w:r>
    </w:p>
    <w:p w:rsidR="00CE0DE3" w:rsidRPr="00C01820" w:rsidRDefault="007C00BC" w:rsidP="00D01C79">
      <w:pPr>
        <w:jc w:val="both"/>
      </w:pPr>
      <w:r w:rsidRPr="00C01820">
        <w:t>U stupcu „Index</w:t>
      </w:r>
      <w:r w:rsidR="00E6058A" w:rsidRPr="00C01820">
        <w:t xml:space="preserve"> I</w:t>
      </w:r>
      <w:r w:rsidR="00CE0DE3" w:rsidRPr="00C01820">
        <w:t xml:space="preserve">“ iskazano je izvršenje </w:t>
      </w:r>
      <w:r w:rsidR="00E6058A" w:rsidRPr="00C01820">
        <w:t>financijskog plana za 202</w:t>
      </w:r>
      <w:r w:rsidR="00E543BB" w:rsidRPr="00C01820">
        <w:t>6</w:t>
      </w:r>
      <w:r w:rsidR="00E6058A" w:rsidRPr="00C01820">
        <w:t>. godinu u odnosu na izvršenje 202</w:t>
      </w:r>
      <w:r w:rsidR="00E543BB" w:rsidRPr="00C01820">
        <w:t>5</w:t>
      </w:r>
      <w:r w:rsidR="00E6058A" w:rsidRPr="00C01820">
        <w:t xml:space="preserve">. godine na </w:t>
      </w:r>
      <w:r w:rsidR="00E543BB" w:rsidRPr="00C01820">
        <w:t>polu</w:t>
      </w:r>
      <w:r w:rsidR="00E6058A" w:rsidRPr="00C01820">
        <w:t>godišnjoj razini.</w:t>
      </w:r>
    </w:p>
    <w:p w:rsidR="00E6058A" w:rsidRPr="00C01820" w:rsidRDefault="00E6058A" w:rsidP="00E6058A">
      <w:pPr>
        <w:jc w:val="both"/>
      </w:pPr>
      <w:r w:rsidRPr="00C01820">
        <w:t>U stupcu „Index II“ iskazano je izvršenje financijskog plana za 202</w:t>
      </w:r>
      <w:r w:rsidR="00E543BB" w:rsidRPr="00C01820">
        <w:t>6</w:t>
      </w:r>
      <w:r w:rsidRPr="00C01820">
        <w:t>. godinu u odnosu na financijski plan 202</w:t>
      </w:r>
      <w:r w:rsidR="00E543BB" w:rsidRPr="00C01820">
        <w:t>6</w:t>
      </w:r>
      <w:r w:rsidRPr="00C01820">
        <w:t xml:space="preserve">. godine(izvorni plan) na </w:t>
      </w:r>
      <w:r w:rsidR="00E543BB" w:rsidRPr="00C01820">
        <w:t>polu</w:t>
      </w:r>
      <w:r w:rsidRPr="00C01820">
        <w:t>godišnjoj razini.</w:t>
      </w:r>
    </w:p>
    <w:p w:rsidR="00CE0DE3" w:rsidRPr="00C01820" w:rsidRDefault="00CE0DE3" w:rsidP="00D01C79">
      <w:pPr>
        <w:jc w:val="both"/>
      </w:pPr>
    </w:p>
    <w:p w:rsidR="00E6058A" w:rsidRPr="00C01820" w:rsidRDefault="00E6058A" w:rsidP="00D01C79">
      <w:pPr>
        <w:jc w:val="both"/>
      </w:pPr>
    </w:p>
    <w:p w:rsidR="00CE0DE3" w:rsidRPr="00C01820" w:rsidRDefault="00CE0DE3" w:rsidP="00D01C79">
      <w:pPr>
        <w:jc w:val="both"/>
      </w:pPr>
      <w:r w:rsidRPr="00C01820">
        <w:t>Uz opći dio Izvještaja o izvršenju financijskog plana Centra ZAC za razdoblje od 1.1.-3</w:t>
      </w:r>
      <w:r w:rsidR="00E543BB" w:rsidRPr="00C01820">
        <w:t>0.06</w:t>
      </w:r>
      <w:r w:rsidR="007C00BC" w:rsidRPr="00C01820">
        <w:t>.202</w:t>
      </w:r>
      <w:r w:rsidR="00E543BB" w:rsidRPr="00C01820">
        <w:t>6</w:t>
      </w:r>
      <w:r w:rsidRPr="00C01820">
        <w:t>. prilažu se sljedeći izvještaji o izvršenju:</w:t>
      </w:r>
    </w:p>
    <w:p w:rsidR="00CE0DE3" w:rsidRPr="00C01820" w:rsidRDefault="00CE0DE3" w:rsidP="00D01C79">
      <w:pPr>
        <w:jc w:val="both"/>
      </w:pPr>
    </w:p>
    <w:p w:rsidR="00E6058A" w:rsidRPr="00C01820" w:rsidRDefault="00E6058A" w:rsidP="00E6058A">
      <w:pPr>
        <w:pStyle w:val="ListParagraph"/>
        <w:numPr>
          <w:ilvl w:val="0"/>
          <w:numId w:val="8"/>
        </w:numPr>
        <w:jc w:val="both"/>
      </w:pPr>
      <w:r w:rsidRPr="00C01820">
        <w:t xml:space="preserve">SAŽETAK RAČUNA PRIHODA I RASHODA </w:t>
      </w:r>
    </w:p>
    <w:p w:rsidR="00E6058A" w:rsidRPr="00C01820" w:rsidRDefault="00E6058A" w:rsidP="00E6058A">
      <w:pPr>
        <w:pStyle w:val="ListParagraph"/>
        <w:numPr>
          <w:ilvl w:val="0"/>
          <w:numId w:val="8"/>
        </w:numPr>
        <w:jc w:val="both"/>
      </w:pPr>
      <w:r w:rsidRPr="00C01820">
        <w:t>RAČUN PRIHODA I RASHODA prema proračunskim klasifikacijama koji se sastoji od sljedećih izvještaja:</w:t>
      </w:r>
    </w:p>
    <w:p w:rsidR="00E6058A" w:rsidRPr="00C01820" w:rsidRDefault="00E6058A" w:rsidP="00E6058A">
      <w:pPr>
        <w:pStyle w:val="ListParagraph"/>
        <w:jc w:val="both"/>
      </w:pPr>
      <w:r w:rsidRPr="00C01820">
        <w:t>-</w:t>
      </w:r>
      <w:r w:rsidR="00EF7BE0" w:rsidRPr="00C01820">
        <w:t>Izvještaj o prihodima i rashodima prema ekonomskoj klasifikaciji</w:t>
      </w:r>
    </w:p>
    <w:p w:rsidR="00EF7BE0" w:rsidRPr="00C01820" w:rsidRDefault="00EF7BE0" w:rsidP="00E6058A">
      <w:pPr>
        <w:pStyle w:val="ListParagraph"/>
        <w:jc w:val="both"/>
      </w:pPr>
      <w:r w:rsidRPr="00C01820">
        <w:t>-Izvještaj o prihodima i rashodima prema izvoru financiranja</w:t>
      </w:r>
    </w:p>
    <w:p w:rsidR="00EF7BE0" w:rsidRPr="00C01820" w:rsidRDefault="00EF7BE0" w:rsidP="00E6058A">
      <w:pPr>
        <w:pStyle w:val="ListParagraph"/>
        <w:jc w:val="both"/>
      </w:pPr>
      <w:r w:rsidRPr="00C01820">
        <w:t xml:space="preserve">-Izvještaj o rashodima prema funkcijskoj klasifikaciji </w:t>
      </w:r>
    </w:p>
    <w:p w:rsidR="00090703" w:rsidRPr="00C01820" w:rsidRDefault="00090703" w:rsidP="00E6058A">
      <w:pPr>
        <w:pStyle w:val="ListParagraph"/>
        <w:jc w:val="both"/>
      </w:pPr>
    </w:p>
    <w:p w:rsidR="00C01820" w:rsidRPr="00C01820" w:rsidRDefault="00C01820" w:rsidP="00E6058A">
      <w:pPr>
        <w:pStyle w:val="ListParagraph"/>
        <w:jc w:val="both"/>
      </w:pPr>
    </w:p>
    <w:p w:rsidR="00E6058A" w:rsidRPr="00C01820" w:rsidRDefault="00E6058A" w:rsidP="00E6058A">
      <w:pPr>
        <w:jc w:val="both"/>
      </w:pPr>
    </w:p>
    <w:p w:rsidR="00D01C79" w:rsidRPr="00C01820" w:rsidRDefault="00D01C79" w:rsidP="00D01C79">
      <w:pPr>
        <w:jc w:val="both"/>
      </w:pPr>
    </w:p>
    <w:p w:rsidR="00204275" w:rsidRPr="00C01820" w:rsidRDefault="00204275" w:rsidP="00204275">
      <w:pPr>
        <w:pStyle w:val="NoSpacing"/>
        <w:pBdr>
          <w:bottom w:val="single" w:sz="12" w:space="1" w:color="00000A"/>
        </w:pBdr>
        <w:rPr>
          <w:rFonts w:ascii="Times New Roman" w:hAnsi="Times New Roman" w:cs="Times New Roman"/>
          <w:b/>
          <w:sz w:val="24"/>
          <w:szCs w:val="24"/>
        </w:rPr>
      </w:pPr>
      <w:r w:rsidRPr="00C01820">
        <w:rPr>
          <w:rFonts w:ascii="Times New Roman" w:hAnsi="Times New Roman" w:cs="Times New Roman"/>
          <w:b/>
          <w:sz w:val="24"/>
          <w:szCs w:val="24"/>
        </w:rPr>
        <w:t xml:space="preserve">FINANCIJSKI PLAN I PREGLED POSLOVANJA </w:t>
      </w:r>
      <w:r w:rsidR="004C3E62" w:rsidRPr="00C01820">
        <w:rPr>
          <w:rFonts w:ascii="Times New Roman" w:hAnsi="Times New Roman" w:cs="Times New Roman"/>
          <w:b/>
          <w:sz w:val="24"/>
          <w:szCs w:val="24"/>
        </w:rPr>
        <w:t>ZA RAZDOBLJE 1.1.202</w:t>
      </w:r>
      <w:r w:rsidR="00E543BB" w:rsidRPr="00C01820">
        <w:rPr>
          <w:rFonts w:ascii="Times New Roman" w:hAnsi="Times New Roman" w:cs="Times New Roman"/>
          <w:b/>
          <w:sz w:val="24"/>
          <w:szCs w:val="24"/>
        </w:rPr>
        <w:t>6.- 30.06</w:t>
      </w:r>
      <w:r w:rsidR="00AD7C6C" w:rsidRPr="00C01820">
        <w:rPr>
          <w:rFonts w:ascii="Times New Roman" w:hAnsi="Times New Roman" w:cs="Times New Roman"/>
          <w:b/>
          <w:sz w:val="24"/>
          <w:szCs w:val="24"/>
        </w:rPr>
        <w:t>.</w:t>
      </w:r>
      <w:r w:rsidRPr="00C01820">
        <w:rPr>
          <w:rFonts w:ascii="Times New Roman" w:hAnsi="Times New Roman" w:cs="Times New Roman"/>
          <w:b/>
          <w:sz w:val="24"/>
          <w:szCs w:val="24"/>
        </w:rPr>
        <w:t>202</w:t>
      </w:r>
      <w:r w:rsidR="00E543BB" w:rsidRPr="00C01820">
        <w:rPr>
          <w:rFonts w:ascii="Times New Roman" w:hAnsi="Times New Roman" w:cs="Times New Roman"/>
          <w:b/>
          <w:sz w:val="24"/>
          <w:szCs w:val="24"/>
        </w:rPr>
        <w:t>6</w:t>
      </w:r>
      <w:r w:rsidR="00AD7C6C" w:rsidRPr="00C01820">
        <w:rPr>
          <w:rFonts w:ascii="Times New Roman" w:hAnsi="Times New Roman" w:cs="Times New Roman"/>
          <w:b/>
          <w:sz w:val="24"/>
          <w:szCs w:val="24"/>
        </w:rPr>
        <w:t>. GODINE</w:t>
      </w:r>
    </w:p>
    <w:p w:rsidR="00204275" w:rsidRPr="00C01820" w:rsidRDefault="00204275" w:rsidP="00204275">
      <w:pPr>
        <w:pStyle w:val="NoSpacing"/>
        <w:rPr>
          <w:rFonts w:ascii="Times New Roman" w:hAnsi="Times New Roman" w:cs="Times New Roman"/>
          <w:sz w:val="24"/>
          <w:szCs w:val="24"/>
        </w:rPr>
      </w:pPr>
    </w:p>
    <w:p w:rsidR="00204275" w:rsidRPr="00C01820" w:rsidRDefault="00204275" w:rsidP="00204275">
      <w:pPr>
        <w:pStyle w:val="NoSpacing"/>
        <w:jc w:val="both"/>
        <w:rPr>
          <w:rFonts w:ascii="Times New Roman" w:hAnsi="Times New Roman" w:cs="Times New Roman"/>
          <w:sz w:val="24"/>
          <w:szCs w:val="24"/>
        </w:rPr>
      </w:pPr>
      <w:r w:rsidRPr="00C01820">
        <w:rPr>
          <w:rFonts w:ascii="Times New Roman" w:hAnsi="Times New Roman" w:cs="Times New Roman"/>
          <w:sz w:val="24"/>
          <w:szCs w:val="24"/>
        </w:rPr>
        <w:t>Financijski plan za 202</w:t>
      </w:r>
      <w:r w:rsidR="00E543BB" w:rsidRPr="00C01820">
        <w:rPr>
          <w:rFonts w:ascii="Times New Roman" w:hAnsi="Times New Roman" w:cs="Times New Roman"/>
          <w:sz w:val="24"/>
          <w:szCs w:val="24"/>
        </w:rPr>
        <w:t>6</w:t>
      </w:r>
      <w:r w:rsidRPr="00C01820">
        <w:rPr>
          <w:rFonts w:ascii="Times New Roman" w:hAnsi="Times New Roman" w:cs="Times New Roman"/>
          <w:sz w:val="24"/>
          <w:szCs w:val="24"/>
        </w:rPr>
        <w:t>. godinu donesen je Odlukom skupštine Grada objavljenom u Službeno</w:t>
      </w:r>
      <w:r w:rsidR="00AD7C6C" w:rsidRPr="00C01820">
        <w:rPr>
          <w:rFonts w:ascii="Times New Roman" w:hAnsi="Times New Roman" w:cs="Times New Roman"/>
          <w:sz w:val="24"/>
          <w:szCs w:val="24"/>
        </w:rPr>
        <w:t xml:space="preserve">m glasniku Grada Zagreba </w:t>
      </w:r>
      <w:r w:rsidR="00E543BB" w:rsidRPr="00C01820">
        <w:rPr>
          <w:rFonts w:ascii="Times New Roman" w:hAnsi="Times New Roman" w:cs="Times New Roman"/>
          <w:sz w:val="24"/>
          <w:szCs w:val="24"/>
        </w:rPr>
        <w:t xml:space="preserve">broj </w:t>
      </w:r>
      <w:r w:rsidR="00AF1E5A" w:rsidRPr="00C01820">
        <w:rPr>
          <w:rFonts w:ascii="Times New Roman" w:hAnsi="Times New Roman" w:cs="Times New Roman"/>
          <w:sz w:val="24"/>
          <w:szCs w:val="24"/>
        </w:rPr>
        <w:t xml:space="preserve"> 44. od 30</w:t>
      </w:r>
      <w:r w:rsidR="00AD7C6C" w:rsidRPr="00C01820">
        <w:rPr>
          <w:rFonts w:ascii="Times New Roman" w:hAnsi="Times New Roman" w:cs="Times New Roman"/>
          <w:sz w:val="24"/>
          <w:szCs w:val="24"/>
        </w:rPr>
        <w:t>.12.202</w:t>
      </w:r>
      <w:r w:rsidR="00AF1E5A" w:rsidRPr="00C01820">
        <w:rPr>
          <w:rFonts w:ascii="Times New Roman" w:hAnsi="Times New Roman" w:cs="Times New Roman"/>
          <w:sz w:val="24"/>
          <w:szCs w:val="24"/>
        </w:rPr>
        <w:t>5</w:t>
      </w:r>
      <w:r w:rsidRPr="00C01820">
        <w:rPr>
          <w:rFonts w:ascii="Times New Roman" w:hAnsi="Times New Roman" w:cs="Times New Roman"/>
          <w:sz w:val="24"/>
          <w:szCs w:val="24"/>
        </w:rPr>
        <w:t>.</w:t>
      </w:r>
    </w:p>
    <w:p w:rsidR="00204275" w:rsidRPr="00C01820" w:rsidRDefault="00204275" w:rsidP="00204275">
      <w:pPr>
        <w:pStyle w:val="NoSpacing"/>
        <w:jc w:val="both"/>
        <w:rPr>
          <w:rFonts w:ascii="Times New Roman" w:hAnsi="Times New Roman" w:cs="Times New Roman"/>
          <w:sz w:val="24"/>
          <w:szCs w:val="24"/>
        </w:rPr>
      </w:pPr>
      <w:r w:rsidRPr="00C01820">
        <w:rPr>
          <w:rFonts w:ascii="Times New Roman" w:hAnsi="Times New Roman" w:cs="Times New Roman"/>
          <w:sz w:val="24"/>
          <w:szCs w:val="24"/>
        </w:rPr>
        <w:t xml:space="preserve">Planirani prihodi iz Proračuna Grada Zagreba za financiranje rashoda poslovanja iznosili su  </w:t>
      </w:r>
      <w:r w:rsidR="00AF1E5A" w:rsidRPr="00C01820">
        <w:rPr>
          <w:rFonts w:ascii="Times New Roman" w:hAnsi="Times New Roman" w:cs="Times New Roman"/>
          <w:b/>
          <w:bCs/>
          <w:sz w:val="24"/>
          <w:szCs w:val="24"/>
        </w:rPr>
        <w:t>3.243</w:t>
      </w:r>
      <w:r w:rsidR="00343A67" w:rsidRPr="00C01820">
        <w:rPr>
          <w:rFonts w:ascii="Times New Roman" w:hAnsi="Times New Roman" w:cs="Times New Roman"/>
          <w:b/>
          <w:bCs/>
          <w:sz w:val="24"/>
          <w:szCs w:val="24"/>
        </w:rPr>
        <w:t xml:space="preserve">.500,00 </w:t>
      </w:r>
      <w:r w:rsidRPr="00C01820">
        <w:rPr>
          <w:rFonts w:ascii="Times New Roman" w:hAnsi="Times New Roman" w:cs="Times New Roman"/>
          <w:bCs/>
          <w:sz w:val="24"/>
          <w:szCs w:val="24"/>
        </w:rPr>
        <w:t xml:space="preserve">eura dok su planirani prihodi od Ministarstva iznosili </w:t>
      </w:r>
      <w:r w:rsidR="00AF1E5A" w:rsidRPr="00C01820">
        <w:rPr>
          <w:rFonts w:ascii="Times New Roman" w:hAnsi="Times New Roman" w:cs="Times New Roman"/>
          <w:b/>
          <w:bCs/>
          <w:sz w:val="24"/>
          <w:szCs w:val="24"/>
        </w:rPr>
        <w:t>640.000</w:t>
      </w:r>
      <w:r w:rsidR="00343A67" w:rsidRPr="00C01820">
        <w:rPr>
          <w:rFonts w:ascii="Times New Roman" w:hAnsi="Times New Roman" w:cs="Times New Roman"/>
          <w:b/>
          <w:bCs/>
          <w:sz w:val="24"/>
          <w:szCs w:val="24"/>
        </w:rPr>
        <w:t>,00</w:t>
      </w:r>
      <w:r w:rsidRPr="00C01820">
        <w:rPr>
          <w:rFonts w:ascii="Times New Roman" w:hAnsi="Times New Roman" w:cs="Times New Roman"/>
          <w:b/>
          <w:bCs/>
          <w:sz w:val="24"/>
          <w:szCs w:val="24"/>
        </w:rPr>
        <w:t xml:space="preserve"> eura. </w:t>
      </w:r>
      <w:r w:rsidRPr="00C01820">
        <w:rPr>
          <w:rFonts w:ascii="Times New Roman" w:hAnsi="Times New Roman" w:cs="Times New Roman"/>
          <w:bCs/>
          <w:sz w:val="24"/>
          <w:szCs w:val="24"/>
        </w:rPr>
        <w:t>Ukupni Plan za</w:t>
      </w:r>
      <w:r w:rsidR="00AD7C6C" w:rsidRPr="00C01820">
        <w:rPr>
          <w:rFonts w:ascii="Times New Roman" w:hAnsi="Times New Roman" w:cs="Times New Roman"/>
          <w:bCs/>
          <w:sz w:val="24"/>
          <w:szCs w:val="24"/>
        </w:rPr>
        <w:t xml:space="preserve"> 202</w:t>
      </w:r>
      <w:r w:rsidR="00AF1E5A" w:rsidRPr="00C01820">
        <w:rPr>
          <w:rFonts w:ascii="Times New Roman" w:hAnsi="Times New Roman" w:cs="Times New Roman"/>
          <w:bCs/>
          <w:sz w:val="24"/>
          <w:szCs w:val="24"/>
        </w:rPr>
        <w:t>6</w:t>
      </w:r>
      <w:r w:rsidRPr="00C01820">
        <w:rPr>
          <w:rFonts w:ascii="Times New Roman" w:hAnsi="Times New Roman" w:cs="Times New Roman"/>
          <w:bCs/>
          <w:sz w:val="24"/>
          <w:szCs w:val="24"/>
        </w:rPr>
        <w:t>.</w:t>
      </w:r>
      <w:r w:rsidR="00AD7C6C" w:rsidRPr="00C01820">
        <w:rPr>
          <w:rFonts w:ascii="Times New Roman" w:hAnsi="Times New Roman" w:cs="Times New Roman"/>
          <w:bCs/>
          <w:sz w:val="24"/>
          <w:szCs w:val="24"/>
        </w:rPr>
        <w:t xml:space="preserve"> godinu iznosi</w:t>
      </w:r>
      <w:r w:rsidRPr="00C01820">
        <w:rPr>
          <w:rFonts w:ascii="Times New Roman" w:hAnsi="Times New Roman" w:cs="Times New Roman"/>
          <w:b/>
          <w:bCs/>
          <w:sz w:val="24"/>
          <w:szCs w:val="24"/>
        </w:rPr>
        <w:t xml:space="preserve"> </w:t>
      </w:r>
      <w:r w:rsidR="00343A67" w:rsidRPr="00C01820">
        <w:rPr>
          <w:rFonts w:ascii="Times New Roman" w:hAnsi="Times New Roman" w:cs="Times New Roman"/>
          <w:b/>
          <w:bCs/>
          <w:sz w:val="24"/>
          <w:szCs w:val="24"/>
        </w:rPr>
        <w:t>3.</w:t>
      </w:r>
      <w:r w:rsidR="00AF1E5A" w:rsidRPr="00C01820">
        <w:rPr>
          <w:rFonts w:ascii="Times New Roman" w:hAnsi="Times New Roman" w:cs="Times New Roman"/>
          <w:b/>
          <w:bCs/>
          <w:sz w:val="24"/>
          <w:szCs w:val="24"/>
        </w:rPr>
        <w:t>883.5</w:t>
      </w:r>
      <w:r w:rsidR="00343A67" w:rsidRPr="00C01820">
        <w:rPr>
          <w:rFonts w:ascii="Times New Roman" w:hAnsi="Times New Roman" w:cs="Times New Roman"/>
          <w:b/>
          <w:bCs/>
          <w:sz w:val="24"/>
          <w:szCs w:val="24"/>
        </w:rPr>
        <w:t>00,00</w:t>
      </w:r>
      <w:r w:rsidRPr="00C01820">
        <w:rPr>
          <w:rFonts w:ascii="Times New Roman" w:hAnsi="Times New Roman" w:cs="Times New Roman"/>
          <w:b/>
          <w:bCs/>
          <w:sz w:val="24"/>
          <w:szCs w:val="24"/>
        </w:rPr>
        <w:t xml:space="preserve"> eura.</w:t>
      </w:r>
      <w:r w:rsidR="00154DBE" w:rsidRPr="00C01820">
        <w:rPr>
          <w:rFonts w:ascii="Times New Roman" w:hAnsi="Times New Roman" w:cs="Times New Roman"/>
          <w:b/>
          <w:bCs/>
          <w:sz w:val="24"/>
          <w:szCs w:val="24"/>
        </w:rPr>
        <w:t xml:space="preserve"> </w:t>
      </w:r>
    </w:p>
    <w:p w:rsidR="00204275" w:rsidRPr="00C01820" w:rsidRDefault="00204275" w:rsidP="00204275">
      <w:pPr>
        <w:pStyle w:val="NoSpacing"/>
        <w:rPr>
          <w:rFonts w:ascii="Times New Roman" w:hAnsi="Times New Roman" w:cs="Times New Roman"/>
          <w:sz w:val="24"/>
          <w:szCs w:val="24"/>
        </w:rPr>
      </w:pPr>
    </w:p>
    <w:p w:rsidR="00204275" w:rsidRPr="00C01820" w:rsidRDefault="00204275" w:rsidP="00204275">
      <w:pPr>
        <w:pStyle w:val="NoSpacing"/>
        <w:rPr>
          <w:rFonts w:ascii="Times New Roman" w:hAnsi="Times New Roman" w:cs="Times New Roman"/>
          <w:sz w:val="24"/>
          <w:szCs w:val="24"/>
        </w:rPr>
      </w:pPr>
      <w:r w:rsidRPr="00C01820">
        <w:rPr>
          <w:rFonts w:ascii="Times New Roman" w:hAnsi="Times New Roman" w:cs="Times New Roman"/>
          <w:sz w:val="24"/>
          <w:szCs w:val="24"/>
        </w:rPr>
        <w:t>-od toga : - za rashode za zaposlene...................</w:t>
      </w:r>
      <w:r w:rsidR="003C2DD3" w:rsidRPr="00C01820">
        <w:rPr>
          <w:rFonts w:ascii="Times New Roman" w:hAnsi="Times New Roman" w:cs="Times New Roman"/>
          <w:sz w:val="24"/>
          <w:szCs w:val="24"/>
        </w:rPr>
        <w:t>3.420.000</w:t>
      </w:r>
      <w:r w:rsidRPr="00C01820">
        <w:rPr>
          <w:rFonts w:ascii="Times New Roman" w:hAnsi="Times New Roman" w:cs="Times New Roman"/>
          <w:sz w:val="24"/>
          <w:szCs w:val="24"/>
        </w:rPr>
        <w:t>,00 eura</w:t>
      </w:r>
    </w:p>
    <w:p w:rsidR="00204275" w:rsidRPr="00C01820" w:rsidRDefault="00204275" w:rsidP="00204275">
      <w:pPr>
        <w:pStyle w:val="NoSpacing"/>
        <w:rPr>
          <w:rFonts w:ascii="Times New Roman" w:hAnsi="Times New Roman" w:cs="Times New Roman"/>
          <w:sz w:val="24"/>
          <w:szCs w:val="24"/>
        </w:rPr>
      </w:pPr>
      <w:r w:rsidRPr="00C01820">
        <w:rPr>
          <w:rFonts w:ascii="Times New Roman" w:hAnsi="Times New Roman" w:cs="Times New Roman"/>
          <w:sz w:val="24"/>
          <w:szCs w:val="24"/>
        </w:rPr>
        <w:t xml:space="preserve">                  - za  materijalne rashode.......................</w:t>
      </w:r>
      <w:r w:rsidR="003C2DD3" w:rsidRPr="00C01820">
        <w:rPr>
          <w:rFonts w:ascii="Times New Roman" w:hAnsi="Times New Roman" w:cs="Times New Roman"/>
          <w:sz w:val="24"/>
          <w:szCs w:val="24"/>
        </w:rPr>
        <w:t>450.500</w:t>
      </w:r>
      <w:r w:rsidRPr="00C01820">
        <w:rPr>
          <w:rFonts w:ascii="Times New Roman" w:hAnsi="Times New Roman" w:cs="Times New Roman"/>
          <w:sz w:val="24"/>
          <w:szCs w:val="24"/>
        </w:rPr>
        <w:t>,00 eura</w:t>
      </w:r>
    </w:p>
    <w:p w:rsidR="00204275" w:rsidRPr="00C01820" w:rsidRDefault="00204275" w:rsidP="00204275">
      <w:pPr>
        <w:pStyle w:val="NoSpacing"/>
        <w:rPr>
          <w:rFonts w:ascii="Times New Roman" w:hAnsi="Times New Roman" w:cs="Times New Roman"/>
          <w:sz w:val="24"/>
          <w:szCs w:val="24"/>
        </w:rPr>
      </w:pPr>
      <w:r w:rsidRPr="00C01820">
        <w:rPr>
          <w:rFonts w:ascii="Times New Roman" w:hAnsi="Times New Roman" w:cs="Times New Roman"/>
          <w:sz w:val="24"/>
          <w:szCs w:val="24"/>
        </w:rPr>
        <w:t xml:space="preserve">                  - za financijske rashode.............................</w:t>
      </w:r>
      <w:r w:rsidR="003C2DD3" w:rsidRPr="00C01820">
        <w:rPr>
          <w:rFonts w:ascii="Times New Roman" w:hAnsi="Times New Roman" w:cs="Times New Roman"/>
          <w:sz w:val="24"/>
          <w:szCs w:val="24"/>
        </w:rPr>
        <w:t>3.000</w:t>
      </w:r>
      <w:r w:rsidRPr="00C01820">
        <w:rPr>
          <w:rFonts w:ascii="Times New Roman" w:hAnsi="Times New Roman" w:cs="Times New Roman"/>
          <w:sz w:val="24"/>
          <w:szCs w:val="24"/>
        </w:rPr>
        <w:t>,00 eura</w:t>
      </w:r>
    </w:p>
    <w:p w:rsidR="00204275" w:rsidRPr="00C01820" w:rsidRDefault="00204275" w:rsidP="00204275">
      <w:pPr>
        <w:pStyle w:val="NoSpacing"/>
        <w:rPr>
          <w:rFonts w:ascii="Times New Roman" w:hAnsi="Times New Roman" w:cs="Times New Roman"/>
          <w:sz w:val="24"/>
          <w:szCs w:val="24"/>
        </w:rPr>
      </w:pPr>
      <w:r w:rsidRPr="00C01820">
        <w:rPr>
          <w:rFonts w:ascii="Times New Roman" w:hAnsi="Times New Roman" w:cs="Times New Roman"/>
          <w:sz w:val="24"/>
          <w:szCs w:val="24"/>
        </w:rPr>
        <w:t xml:space="preserve">                  - za nabavu nefinancijske imovine.........</w:t>
      </w:r>
      <w:r w:rsidR="004F0401" w:rsidRPr="00C01820">
        <w:rPr>
          <w:rFonts w:ascii="Times New Roman" w:hAnsi="Times New Roman" w:cs="Times New Roman"/>
          <w:sz w:val="24"/>
          <w:szCs w:val="24"/>
        </w:rPr>
        <w:t>..</w:t>
      </w:r>
      <w:r w:rsidR="003C2DD3" w:rsidRPr="00C01820">
        <w:rPr>
          <w:rFonts w:ascii="Times New Roman" w:hAnsi="Times New Roman" w:cs="Times New Roman"/>
          <w:sz w:val="24"/>
          <w:szCs w:val="24"/>
        </w:rPr>
        <w:t>10</w:t>
      </w:r>
      <w:r w:rsidR="00343A67" w:rsidRPr="00C01820">
        <w:rPr>
          <w:rFonts w:ascii="Times New Roman" w:hAnsi="Times New Roman" w:cs="Times New Roman"/>
          <w:sz w:val="24"/>
          <w:szCs w:val="24"/>
        </w:rPr>
        <w:t>.000</w:t>
      </w:r>
      <w:r w:rsidRPr="00C01820">
        <w:rPr>
          <w:rFonts w:ascii="Times New Roman" w:hAnsi="Times New Roman" w:cs="Times New Roman"/>
          <w:sz w:val="24"/>
          <w:szCs w:val="24"/>
        </w:rPr>
        <w:t>,00 eura</w:t>
      </w:r>
    </w:p>
    <w:p w:rsidR="00AF5155" w:rsidRPr="00C01820" w:rsidRDefault="00AF5155" w:rsidP="00204275">
      <w:pPr>
        <w:pStyle w:val="NoSpacing"/>
        <w:rPr>
          <w:rFonts w:ascii="Times New Roman" w:hAnsi="Times New Roman" w:cs="Times New Roman"/>
          <w:sz w:val="24"/>
          <w:szCs w:val="24"/>
        </w:rPr>
      </w:pPr>
    </w:p>
    <w:p w:rsidR="00AF5155" w:rsidRPr="00C01820" w:rsidRDefault="00AF5155" w:rsidP="00AF5155">
      <w:pPr>
        <w:spacing w:after="120"/>
      </w:pPr>
      <w:r w:rsidRPr="00C01820">
        <w:rPr>
          <w:b/>
        </w:rPr>
        <w:t>RAČUN PRIHODA I RASHODA</w:t>
      </w:r>
    </w:p>
    <w:p w:rsidR="00AF5155" w:rsidRPr="00C01820" w:rsidRDefault="00AF5155" w:rsidP="00AF5155">
      <w:pPr>
        <w:spacing w:after="120"/>
      </w:pPr>
      <w:r w:rsidRPr="00C01820">
        <w:t>Ukupni prihodi poslovanja za 2026. godinu planirani su u iznosu od 3.883.500,00 eura, a u razdoblju od 1. siječnja do 30. lipnja 2026. godine ostvareni su u iznosu od 1.981.707,49 eura, odnosno 51,03 % godišnjeg plana. U odnosu na isto razdoblje 2025. godine, kada su prihodi iznosili 1.711.985,99 eura, ostvarenje prihoda veće je za 15,75 %.</w:t>
      </w:r>
    </w:p>
    <w:p w:rsidR="00AF5155" w:rsidRPr="00C01820" w:rsidRDefault="00AF5155" w:rsidP="00AF5155">
      <w:pPr>
        <w:spacing w:after="120"/>
      </w:pPr>
      <w:r w:rsidRPr="00C01820">
        <w:t>Ukupni rashodi planirani su u iznosu od 3.883.500,00 eura, a izvršeni su u iznosu od 1.791.449,70 eura, odnosno 46,13 % godišnjeg plana. U odnosu na isto razdoblje prethodne godine, kada su rashodi iznosili 1.436.887,66 eura, rashodi su veći za 24,68 %. Povećanje je najvećim dijelom povezano s većim brojem zaposlenih i proširenim prostornim kapacitetima Centra, što je utjecalo na rast rashoda za zaposlene, energiju, zakupnine, komunalne i druge usluge potrebne za redovno poslovanje.</w:t>
      </w:r>
    </w:p>
    <w:p w:rsidR="00AF5155" w:rsidRPr="00C01820" w:rsidRDefault="00AF5155" w:rsidP="00AF5155">
      <w:pPr>
        <w:spacing w:after="120"/>
      </w:pPr>
      <w:r w:rsidRPr="00C01820">
        <w:t>Rashodi poslovanja planirani su u iznosu od 3.873.500,00 eura, a izvršeni u iznosu od 1.790.927,72 eura, što predstavlja 46,24 % plana. Rashodi za nabavu nefinancijske imovine planirani su u iznosu od 10.000,00 eura, a izvršeni u iznosu od 521,98 eura, odnosno 5,22 % plana. Navedeni rashod odnosi se na nabavu opreme evidentirane u okviru sportske i glazbene opreme te ne predstavlja provedbu kapitalnog projekta.</w:t>
      </w:r>
    </w:p>
    <w:p w:rsidR="00AF5155" w:rsidRPr="00C01820" w:rsidRDefault="00AF5155" w:rsidP="00AF5155">
      <w:pPr>
        <w:spacing w:after="120"/>
      </w:pPr>
      <w:r w:rsidRPr="00C01820">
        <w:rPr>
          <w:b/>
        </w:rPr>
        <w:t>STRUKTURA IZVRŠENIH RASHODA</w:t>
      </w:r>
    </w:p>
    <w:p w:rsidR="00AF5155" w:rsidRPr="00C01820" w:rsidRDefault="00AF5155" w:rsidP="00AF5155">
      <w:pPr>
        <w:spacing w:after="120"/>
      </w:pPr>
      <w:r w:rsidRPr="00C01820">
        <w:t>Rashodi za zaposlene planirani su u iznosu od 3.420.000,00 eura, a izvršeni su u iznosu od 1.617.620,09 eura, odnosno 47,30 % plana. U odnosu na prvo polugodište 2025. godine veći su za 25,03 %. Rashodi obuhvaćaju plaće za redovan rad, plaće u naravi, ostala materijalna prava zaposlenika i doprinose na plaće. Rast rashoda rezultat je većeg broja zaposlenih u odnosu na isto razdoblje prethodne godine i osiguravanja kadrovskih uvjeta za rad na proširenim lokacijama i povećanom opsegu pruženih usluga.</w:t>
      </w:r>
    </w:p>
    <w:p w:rsidR="00AF5155" w:rsidRPr="00C01820" w:rsidRDefault="00AF5155" w:rsidP="00AF5155">
      <w:pPr>
        <w:spacing w:after="120"/>
      </w:pPr>
      <w:r w:rsidRPr="00C01820">
        <w:t>Materijalni rashodi planirani su u iznosu od 450.500,00 eura, a izvršeni su u iznosu od 172.026,95 eura, odnosno 38,19 % plana. U odnosu na isto razdoblje prethodne godine veći su za 21,48 %. Materijalni rashodi odnose se na naknade troškova zaposlenima, materijal i sirovine, energiju, uredski materijal, sitni inventar, komunalne, komunikacijske, zdravstvene, računalne i druge usluge, zakupnine i najamnine, premije osiguranja, naknade za rad Upravnog vijeća Centra, reprezentaciju te ostale rashode redovnog poslovanja.</w:t>
      </w:r>
    </w:p>
    <w:p w:rsidR="00AF5155" w:rsidRPr="00C01820" w:rsidRDefault="00AF5155" w:rsidP="00AF5155">
      <w:pPr>
        <w:spacing w:after="120"/>
      </w:pPr>
      <w:r w:rsidRPr="00C01820">
        <w:t>Financijski rashodi planirani su u iznosu od 3.000,00 eura, a izvršeni su u iznosu od 1.280,68 eura, odnosno 42,69 % plana. Odnose se na bankarske usluge i usluge platnog prometa.</w:t>
      </w:r>
    </w:p>
    <w:p w:rsidR="00AF5155" w:rsidRPr="00C01820" w:rsidRDefault="00AF5155" w:rsidP="00AF5155">
      <w:pPr>
        <w:spacing w:after="120"/>
      </w:pPr>
      <w:r w:rsidRPr="00C01820">
        <w:rPr>
          <w:b/>
        </w:rPr>
        <w:lastRenderedPageBreak/>
        <w:t>IZVORI FINANCIRANJA</w:t>
      </w:r>
    </w:p>
    <w:p w:rsidR="00AF5155" w:rsidRPr="00C01820" w:rsidRDefault="00AF5155" w:rsidP="00AF5155">
      <w:pPr>
        <w:spacing w:after="120"/>
      </w:pPr>
      <w:r w:rsidRPr="00C01820">
        <w:rPr>
          <w:b/>
        </w:rPr>
        <w:t>Izvor 1.1. – Opći prihodi i primici proračuna</w:t>
      </w:r>
    </w:p>
    <w:p w:rsidR="00AF5155" w:rsidRPr="00C01820" w:rsidRDefault="00AF5155" w:rsidP="00AF5155">
      <w:pPr>
        <w:spacing w:after="120"/>
      </w:pPr>
      <w:r w:rsidRPr="00C01820">
        <w:t>Prihodi iz nadležnog proračuna Grada Zagreba za financiranje redovne djelatnosti planirani su u iznosu od 3.243.500,00 eura, a ostvareni su u iznosu od 1.620.780,00 eura, odnosno 49,97 % godišnjeg plana. U odnosu na isto razdoblje 2025. godine veći su za 15,18 %. Sredstva su korištena za financiranje rashoda za zaposlene i ostalih rashoda redovne djelatnosti Centra.</w:t>
      </w:r>
    </w:p>
    <w:p w:rsidR="00AF5155" w:rsidRPr="00C01820" w:rsidRDefault="00AF5155" w:rsidP="00AF5155">
      <w:pPr>
        <w:spacing w:after="120"/>
      </w:pPr>
      <w:r w:rsidRPr="00C01820">
        <w:rPr>
          <w:b/>
        </w:rPr>
        <w:t>Izvor 5.2. – Pomoći iz drugih proračuna</w:t>
      </w:r>
    </w:p>
    <w:p w:rsidR="00AF5155" w:rsidRPr="00C01820" w:rsidRDefault="00AF5155" w:rsidP="00AF5155">
      <w:pPr>
        <w:spacing w:after="120"/>
      </w:pPr>
      <w:r w:rsidRPr="00C01820">
        <w:t>Pomoći proračunskim korisnicima iz proračuna koji im nije nadležan planirane su u iznosu od 640.000,00 eura, a ostvarene su u iznosu od 359.574,36 eura, odnosno 56,18 % godišnjeg plana. Prihodi se odnose na sredstva Ministarstva rada, mirovinskoga sustava, obitelji i socijalne politike za financiranje ugovorenih socijalnih usluga. U odnosu na isto razdoblje prethodne godine veći su za 17,95 %, što je povezano s većim brojem pruženih usluga, povećanim prostornim kapacitetima i većim brojem stručnih radnika.</w:t>
      </w:r>
    </w:p>
    <w:p w:rsidR="00AF5155" w:rsidRPr="00C01820" w:rsidRDefault="00AF5155" w:rsidP="00AF5155">
      <w:pPr>
        <w:spacing w:after="120"/>
      </w:pPr>
      <w:r w:rsidRPr="00C01820">
        <w:t>Od ukupno ostvarenog iznosa, 359.052,38 eura odnosi se na tekuće pomoći, dok se 521,98 eura odnosi na kapitalne pomoći. Kapitalna pomoć utrošena je za nabavu opreme, bez provedbe kapitalnog projekta.</w:t>
      </w:r>
    </w:p>
    <w:p w:rsidR="00AF5155" w:rsidRPr="00C01820" w:rsidRDefault="00AF5155" w:rsidP="00AF5155">
      <w:pPr>
        <w:spacing w:after="120"/>
      </w:pPr>
      <w:r w:rsidRPr="00C01820">
        <w:rPr>
          <w:b/>
        </w:rPr>
        <w:t>Izvor 4.3. – Ostali prihodi za posebne namjene</w:t>
      </w:r>
    </w:p>
    <w:p w:rsidR="00AF5155" w:rsidRPr="00C01820" w:rsidRDefault="00AF5155" w:rsidP="00AF5155">
      <w:pPr>
        <w:spacing w:after="120"/>
      </w:pPr>
      <w:r w:rsidRPr="00C01820">
        <w:t>Ostali nespomenuti prihodi ostvareni su u iznosu od 3,13 eura i nisu bili planirani Financijskim planom. Odnose se na usklađenje mjesečnih potraživanja za bolovanja radnika.</w:t>
      </w:r>
    </w:p>
    <w:p w:rsidR="00AF5155" w:rsidRPr="00C01820" w:rsidRDefault="00AF5155" w:rsidP="00AF5155">
      <w:pPr>
        <w:spacing w:after="120"/>
      </w:pPr>
      <w:r w:rsidRPr="00C01820">
        <w:rPr>
          <w:b/>
        </w:rPr>
        <w:t>Izvor 6.1. – Donacije</w:t>
      </w:r>
    </w:p>
    <w:p w:rsidR="00AF5155" w:rsidRPr="00C01820" w:rsidRDefault="00AF5155" w:rsidP="00AF5155">
      <w:pPr>
        <w:spacing w:after="120"/>
      </w:pPr>
      <w:r w:rsidRPr="00C01820">
        <w:t>Tekuće donacije ostvarene su u iznosu od 1.350,00 eura i nisu bile planirane Financijskim planom. Sredstva se odnose na donaciju Zaklade ICF namijenjenu podršci programima i projektima za pomoć obiteljima, skrbnicima, edukatorima i rehabilitatorima djece s posebnim potrebama.</w:t>
      </w:r>
    </w:p>
    <w:p w:rsidR="00AF5155" w:rsidRPr="00C01820" w:rsidRDefault="00AF5155" w:rsidP="00AF5155">
      <w:pPr>
        <w:spacing w:after="120"/>
      </w:pPr>
      <w:r w:rsidRPr="00C01820">
        <w:rPr>
          <w:b/>
        </w:rPr>
        <w:t>ODSTUPANJE OD FINANCIJSKOG PLANA ZA 2026. GODINU</w:t>
      </w:r>
    </w:p>
    <w:p w:rsidR="00AF5155" w:rsidRPr="00C01820" w:rsidRDefault="00AF5155" w:rsidP="00AF5155">
      <w:pPr>
        <w:spacing w:after="120"/>
      </w:pPr>
      <w:r w:rsidRPr="00C01820">
        <w:t>U prvom polugodištu ostvareno je 51,03 % planiranih prihoda i 46,13 % planiranih rashoda. Prihodi Ministarstva ostvareni su u iznosu od 359.574,36 eura, odnosno 56,18 % godišnjeg plana, dok su prihodi Grada Zagreba ostvareni u iznosu od 1.620.780,00 eura, odnosno 49,97 % godišnjeg plana. Odstupanje kod donacija proizlazi iz neplanirane donacije Zaklade ICF u iznosu od 1.350,00 eura, a kod ostalih prihoda za posebne namjene iz neplaniranog prihoda u iznosu od 3,13 eura.</w:t>
      </w:r>
    </w:p>
    <w:p w:rsidR="00AF5155" w:rsidRPr="00C01820" w:rsidRDefault="00AF5155" w:rsidP="00AF5155">
      <w:pPr>
        <w:spacing w:after="120"/>
      </w:pPr>
      <w:r w:rsidRPr="00C01820">
        <w:t>Niže izvršenje rashoda u odnosu na polovicu godišnjeg plana najvećim se dijelom odnosi na dinamiku nastanka i podmirenja rashoda tijekom godine. Rashodi za zaposlene izvršeni su na razini od 47,30 % plana, materijalni rashodi na razini od 38,19 %, financijski rashodi na razini od 42,69 %, a rashodi za nabavu nefinancijske imovine na razini od 5,22 % plana. U izvještajnom razdoblju nisu utvrđena odstupanja koja bi ugrozila provedbu redovne djelatnosti Centra.</w:t>
      </w:r>
    </w:p>
    <w:p w:rsidR="00AF5155" w:rsidRPr="00C01820" w:rsidRDefault="00AF5155" w:rsidP="00AF5155">
      <w:pPr>
        <w:spacing w:after="120"/>
      </w:pPr>
      <w:r w:rsidRPr="00C01820">
        <w:rPr>
          <w:b/>
        </w:rPr>
        <w:t>REZULTAT POSLOVANJA ZA RAZDOBLJE 1.1.–30.6.2026. GODINE</w:t>
      </w:r>
    </w:p>
    <w:p w:rsidR="00AF5155" w:rsidRPr="00C01820" w:rsidRDefault="00AF5155" w:rsidP="00AF5155">
      <w:pPr>
        <w:spacing w:after="120"/>
      </w:pPr>
      <w:r w:rsidRPr="00C01820">
        <w:t>U izvještajnom razdoblju ostvaren je višak prihoda poslovanja u iznosu od 190.779,77 eura. Nakon umanjenja za manjak prihoda od nefinancijske imovine u iznosu od 521,98 eura, ukupan višak prihoda i primitaka iznosi 190.257,79 eura. Višak je rezultat dinamike doznačavanja prihoda i nastanka rashoda u prvom polugodištu te je namijenjen podmirenju rashoda redovne djelatnosti koji će teretiti drugo polugodište 2026. godine.</w:t>
      </w:r>
    </w:p>
    <w:p w:rsidR="00AF5155" w:rsidRPr="00C01820" w:rsidRDefault="00AF5155" w:rsidP="00AF5155">
      <w:pPr>
        <w:spacing w:after="120"/>
      </w:pPr>
      <w:bookmarkStart w:id="0" w:name="_GoBack"/>
      <w:bookmarkEnd w:id="0"/>
      <w:r w:rsidRPr="00C01820">
        <w:rPr>
          <w:b/>
        </w:rPr>
        <w:lastRenderedPageBreak/>
        <w:t>OBRAZLOŽENJE POSEBNOG DIJELA POLUGODIŠNJEG IZVJEŠTAJA O IZVRŠENJU FINANCIJSKOG PLANA ZA 2026. GODINU</w:t>
      </w:r>
    </w:p>
    <w:p w:rsidR="00AF5155" w:rsidRPr="00C01820" w:rsidRDefault="00AF5155" w:rsidP="00AF5155">
      <w:pPr>
        <w:spacing w:after="120"/>
      </w:pPr>
      <w:r w:rsidRPr="00C01820">
        <w:t>Financijski plan Centra za pružanje usluga u zajednici Zagrebački centar za neovisno življenje u razdoblju od 1. siječnja do 30. lipnja 2026. godine izvršavan je u okviru Programa 2121 – Javna uprava i administracija i Aktivnosti A212101 – Redovna djelatnost proračunskih korisnika. Sva sredstva korištena su za redovno obavljanje djelatnosti Centra i pružanje socijalnih usluga korisnicima. U izvještajnom razdoblju nisu provođeni kapitalni projekti.</w:t>
      </w:r>
    </w:p>
    <w:p w:rsidR="00AF5155" w:rsidRPr="00C01820" w:rsidRDefault="00AF5155" w:rsidP="00AF5155">
      <w:pPr>
        <w:spacing w:after="120"/>
      </w:pPr>
    </w:p>
    <w:p w:rsidR="00AF5155" w:rsidRPr="00C01820" w:rsidRDefault="00AF5155" w:rsidP="00AF5155">
      <w:pPr>
        <w:spacing w:after="120"/>
      </w:pPr>
      <w:r w:rsidRPr="00C01820">
        <w:rPr>
          <w:b/>
        </w:rPr>
        <w:t>PROGRAM: 2121 – JAVNA UPRAVA I ADMINISTRACIJA</w:t>
      </w:r>
    </w:p>
    <w:p w:rsidR="00AF5155" w:rsidRPr="00C01820" w:rsidRDefault="00AF5155" w:rsidP="00AF5155">
      <w:pPr>
        <w:spacing w:after="120"/>
      </w:pPr>
      <w:r w:rsidRPr="00C01820">
        <w:t>Cilj programa je osigurati organizacijske, kadrovske, materijalne i financijske uvjete za kontinuirano, kvalitetno i dostupno pružanje socijalnih usluga iz djelokruga Centra. Programom se osigurava pružanje usluga organiziranog stanovanja uz podršku, rane razvojne podrške, psihosocijalne podrške i stručne procjene, uz promicanje neovisnog življenja, socijalne uključenosti i unapređenje kvalitete života korisnika.</w:t>
      </w:r>
    </w:p>
    <w:p w:rsidR="00AF5155" w:rsidRPr="00C01820" w:rsidRDefault="00AF5155" w:rsidP="00AF5155">
      <w:pPr>
        <w:spacing w:after="120"/>
      </w:pPr>
      <w:r w:rsidRPr="00C01820">
        <w:t>Svrha programa je osigurati stabilno i zakonito funkcioniranje Centra, kontinuitet stručnog rada i dostupnost usluga osobama s invaliditetom, djeci s teškoćama u razvoju i njihovim obiteljima, uz individualiziran i interdisciplinaran pristup te učinkovito korištenje raspoloživih kapaciteta.</w:t>
      </w:r>
    </w:p>
    <w:p w:rsidR="00AF5155" w:rsidRPr="00C01820" w:rsidRDefault="00AF5155" w:rsidP="00AF5155">
      <w:pPr>
        <w:spacing w:after="120"/>
      </w:pPr>
      <w:r w:rsidRPr="00C01820">
        <w:rPr>
          <w:b/>
        </w:rPr>
        <w:t>AKTIVNOST: A212101 – REDOVNA DJELATNOST PRORAČUNSKIH KORISNIKA</w:t>
      </w:r>
    </w:p>
    <w:p w:rsidR="00AF5155" w:rsidRPr="00C01820" w:rsidRDefault="00AF5155" w:rsidP="00AF5155">
      <w:pPr>
        <w:spacing w:after="120"/>
      </w:pPr>
      <w:r w:rsidRPr="00C01820">
        <w:t>Redovna djelatnost obuhvaća organizaciju i kontinuirano pružanje svih ugovorenih socijalnih usluga, rad stručnih i pomoćno-tehničkih službi, upravljanje i administraciju, financijsko-računovodstvene poslove, održavanje prostora i opreme te ostale poslove potrebne za nesmetano funkcioniranje Centra.</w:t>
      </w:r>
    </w:p>
    <w:p w:rsidR="00AF5155" w:rsidRPr="00C01820" w:rsidRDefault="00AF5155" w:rsidP="00AF5155">
      <w:pPr>
        <w:spacing w:after="120"/>
      </w:pPr>
      <w:r w:rsidRPr="00C01820">
        <w:t>Tijekom prvog polugodišta 2026. godine uslugu organiziranog stanovanja koristilo je 25 korisnika, kojima je pruženo ukupno 4.517 usluga. Uslugom rane razvojne podrške obuhvaćena su 103 korisnika uz 1.704 pružene usluge. Uslugu psihosocijalne podrške koristilo je 178 korisnika, kojima su pružene 3.443 usluge, dok su za 102 korisnika provedene 102 stručne procjene. Ostvareni pokazatelji potvrđuju kontinuitet pružanja usluga i učinkovitu provedbu redovne djelatnosti Centra.</w:t>
      </w:r>
    </w:p>
    <w:p w:rsidR="00AF5155" w:rsidRPr="00C01820" w:rsidRDefault="00AF5155" w:rsidP="00204275">
      <w:pPr>
        <w:pStyle w:val="NoSpacing"/>
        <w:rPr>
          <w:rFonts w:ascii="Times New Roman" w:hAnsi="Times New Roman" w:cs="Times New Roman"/>
          <w:sz w:val="24"/>
          <w:szCs w:val="24"/>
        </w:rPr>
      </w:pPr>
    </w:p>
    <w:p w:rsidR="00630B03" w:rsidRPr="00C01820" w:rsidRDefault="00630B03" w:rsidP="00752F61">
      <w:pPr>
        <w:pStyle w:val="NoSpacing"/>
        <w:jc w:val="both"/>
        <w:rPr>
          <w:rFonts w:ascii="Times New Roman" w:hAnsi="Times New Roman" w:cs="Times New Roman"/>
          <w:sz w:val="24"/>
          <w:szCs w:val="24"/>
        </w:rPr>
      </w:pPr>
    </w:p>
    <w:p w:rsidR="00C01820" w:rsidRPr="00C01820" w:rsidRDefault="00C01820" w:rsidP="00204275">
      <w:pPr>
        <w:pStyle w:val="NoSpacing"/>
        <w:rPr>
          <w:rFonts w:ascii="Times New Roman" w:hAnsi="Times New Roman" w:cs="Times New Roman"/>
          <w:b/>
          <w:color w:val="000000" w:themeColor="text1"/>
          <w:sz w:val="24"/>
          <w:szCs w:val="24"/>
        </w:rPr>
      </w:pPr>
      <w:r w:rsidRPr="00C01820">
        <w:rPr>
          <w:rFonts w:ascii="Times New Roman" w:hAnsi="Times New Roman" w:cs="Times New Roman"/>
          <w:b/>
          <w:sz w:val="24"/>
          <w:szCs w:val="24"/>
        </w:rPr>
        <w:t>POKAZATELJI USPJEŠNOSTI</w:t>
      </w:r>
    </w:p>
    <w:p w:rsidR="00204275" w:rsidRPr="00C01820" w:rsidRDefault="00204275" w:rsidP="00204275">
      <w:pPr>
        <w:pStyle w:val="NoSpacing"/>
        <w:rPr>
          <w:rFonts w:ascii="Times New Roman" w:hAnsi="Times New Roman" w:cs="Times New Roman"/>
          <w:b/>
          <w:color w:val="000000" w:themeColor="text1"/>
          <w:sz w:val="24"/>
          <w:szCs w:val="24"/>
        </w:rPr>
      </w:pPr>
      <w:r w:rsidRPr="00C01820">
        <w:rPr>
          <w:rFonts w:ascii="Times New Roman" w:hAnsi="Times New Roman" w:cs="Times New Roman"/>
          <w:b/>
          <w:color w:val="000000" w:themeColor="text1"/>
          <w:sz w:val="24"/>
          <w:szCs w:val="24"/>
        </w:rPr>
        <w:t>IZVRŠENJE PROGRAMA (AKTIVNOSTI/PROJEKATA)</w:t>
      </w:r>
    </w:p>
    <w:p w:rsidR="00204275" w:rsidRPr="00C01820" w:rsidRDefault="00204275" w:rsidP="00204275">
      <w:pPr>
        <w:pStyle w:val="NoSpacing"/>
        <w:rPr>
          <w:rFonts w:ascii="Times New Roman" w:hAnsi="Times New Roman" w:cs="Times New Roman"/>
          <w:color w:val="000000" w:themeColor="text1"/>
          <w:sz w:val="24"/>
          <w:szCs w:val="24"/>
        </w:rPr>
      </w:pPr>
    </w:p>
    <w:p w:rsidR="0003713C" w:rsidRPr="00C01820" w:rsidRDefault="0003713C" w:rsidP="0003713C">
      <w:pPr>
        <w:pStyle w:val="Heading1"/>
        <w:jc w:val="both"/>
        <w:rPr>
          <w:rFonts w:ascii="Times New Roman" w:hAnsi="Times New Roman" w:cs="Times New Roman"/>
          <w:color w:val="000000" w:themeColor="text1"/>
          <w:szCs w:val="24"/>
        </w:rPr>
      </w:pPr>
      <w:r w:rsidRPr="00C01820">
        <w:rPr>
          <w:rFonts w:ascii="Times New Roman" w:hAnsi="Times New Roman" w:cs="Times New Roman"/>
          <w:color w:val="000000" w:themeColor="text1"/>
          <w:szCs w:val="24"/>
          <w:u w:val="single"/>
        </w:rPr>
        <w:t>Program</w:t>
      </w:r>
      <w:r w:rsidRPr="00C01820">
        <w:rPr>
          <w:rFonts w:ascii="Times New Roman" w:hAnsi="Times New Roman" w:cs="Times New Roman"/>
          <w:color w:val="000000" w:themeColor="text1"/>
          <w:szCs w:val="24"/>
        </w:rPr>
        <w:t xml:space="preserve">: </w:t>
      </w:r>
      <w:r w:rsidRPr="00C01820">
        <w:rPr>
          <w:rFonts w:ascii="Times New Roman" w:hAnsi="Times New Roman" w:cs="Times New Roman"/>
          <w:b w:val="0"/>
          <w:bCs w:val="0"/>
          <w:color w:val="000000" w:themeColor="text1"/>
          <w:szCs w:val="24"/>
        </w:rPr>
        <w:t xml:space="preserve">2121 Javna uprava i administracija </w:t>
      </w:r>
    </w:p>
    <w:p w:rsidR="0003713C" w:rsidRPr="00C01820" w:rsidRDefault="0003713C" w:rsidP="0003713C">
      <w:pPr>
        <w:pStyle w:val="NoSpacing"/>
        <w:rPr>
          <w:rFonts w:ascii="Times New Roman" w:hAnsi="Times New Roman" w:cs="Times New Roman"/>
          <w:b/>
          <w:bCs/>
          <w:color w:val="000000" w:themeColor="text1"/>
          <w:sz w:val="24"/>
          <w:szCs w:val="24"/>
        </w:rPr>
      </w:pPr>
    </w:p>
    <w:p w:rsidR="0003713C" w:rsidRPr="00C01820" w:rsidRDefault="0003713C" w:rsidP="0003713C">
      <w:pPr>
        <w:pStyle w:val="NoSpacing"/>
        <w:rPr>
          <w:rFonts w:ascii="Times New Roman" w:hAnsi="Times New Roman" w:cs="Times New Roman"/>
          <w:color w:val="000000" w:themeColor="text1"/>
          <w:sz w:val="24"/>
          <w:szCs w:val="24"/>
        </w:rPr>
      </w:pPr>
      <w:r w:rsidRPr="00C01820">
        <w:rPr>
          <w:rFonts w:ascii="Times New Roman" w:hAnsi="Times New Roman" w:cs="Times New Roman"/>
          <w:b/>
          <w:bCs/>
          <w:color w:val="000000" w:themeColor="text1"/>
          <w:sz w:val="24"/>
          <w:szCs w:val="24"/>
          <w:u w:val="single"/>
        </w:rPr>
        <w:t>Aktivnost/projekt</w:t>
      </w:r>
      <w:r w:rsidRPr="00C01820">
        <w:rPr>
          <w:rFonts w:ascii="Times New Roman" w:hAnsi="Times New Roman" w:cs="Times New Roman"/>
          <w:b/>
          <w:bCs/>
          <w:color w:val="000000" w:themeColor="text1"/>
          <w:sz w:val="24"/>
          <w:szCs w:val="24"/>
        </w:rPr>
        <w:t>:</w:t>
      </w:r>
      <w:r w:rsidRPr="00C01820">
        <w:rPr>
          <w:rFonts w:ascii="Times New Roman" w:hAnsi="Times New Roman" w:cs="Times New Roman"/>
          <w:color w:val="000000" w:themeColor="text1"/>
          <w:sz w:val="24"/>
          <w:szCs w:val="24"/>
        </w:rPr>
        <w:t xml:space="preserve"> A212101</w:t>
      </w:r>
    </w:p>
    <w:p w:rsidR="002F02D0" w:rsidRPr="00C01820" w:rsidRDefault="002F02D0" w:rsidP="0003713C">
      <w:pPr>
        <w:pStyle w:val="NoSpacing"/>
        <w:rPr>
          <w:rFonts w:ascii="Times New Roman" w:hAnsi="Times New Roman" w:cs="Times New Roman"/>
          <w:color w:val="000000" w:themeColor="text1"/>
          <w:sz w:val="24"/>
          <w:szCs w:val="24"/>
        </w:rPr>
      </w:pPr>
    </w:p>
    <w:p w:rsidR="00302C61" w:rsidRPr="00C01820" w:rsidRDefault="00302C61" w:rsidP="00302C61">
      <w:pPr>
        <w:pStyle w:val="NoSpacing"/>
        <w:rPr>
          <w:rFonts w:ascii="Times New Roman" w:hAnsi="Times New Roman" w:cs="Times New Roman"/>
          <w:color w:val="000000" w:themeColor="text1"/>
          <w:sz w:val="24"/>
          <w:szCs w:val="24"/>
        </w:rPr>
      </w:pPr>
      <w:r w:rsidRPr="00C01820">
        <w:rPr>
          <w:rFonts w:ascii="Times New Roman" w:hAnsi="Times New Roman" w:cs="Times New Roman"/>
          <w:color w:val="000000" w:themeColor="text1"/>
          <w:sz w:val="24"/>
          <w:szCs w:val="24"/>
        </w:rPr>
        <w:t xml:space="preserve">Ukupan broj korisnika organiziranog stanovanja je </w:t>
      </w:r>
      <w:r w:rsidRPr="00C01820">
        <w:rPr>
          <w:rFonts w:ascii="Times New Roman" w:hAnsi="Times New Roman" w:cs="Times New Roman"/>
          <w:b/>
          <w:bCs/>
          <w:color w:val="000000" w:themeColor="text1"/>
          <w:sz w:val="24"/>
          <w:szCs w:val="24"/>
          <w:u w:val="single"/>
        </w:rPr>
        <w:t>25 korisnika</w:t>
      </w:r>
      <w:r w:rsidRPr="00C01820">
        <w:rPr>
          <w:rFonts w:ascii="Times New Roman" w:hAnsi="Times New Roman" w:cs="Times New Roman"/>
          <w:b/>
          <w:bCs/>
          <w:color w:val="000000" w:themeColor="text1"/>
          <w:sz w:val="24"/>
          <w:szCs w:val="24"/>
        </w:rPr>
        <w:t xml:space="preserve"> </w:t>
      </w:r>
      <w:r w:rsidRPr="00C01820">
        <w:rPr>
          <w:rFonts w:ascii="Times New Roman" w:hAnsi="Times New Roman" w:cs="Times New Roman"/>
          <w:color w:val="000000" w:themeColor="text1"/>
          <w:sz w:val="24"/>
          <w:szCs w:val="24"/>
        </w:rPr>
        <w:t>(puni kapacitet)</w:t>
      </w:r>
    </w:p>
    <w:p w:rsidR="00302C61" w:rsidRPr="00C01820" w:rsidRDefault="00302C61" w:rsidP="00302C61">
      <w:pPr>
        <w:pStyle w:val="NoSpacing"/>
        <w:rPr>
          <w:rFonts w:ascii="Times New Roman" w:hAnsi="Times New Roman" w:cs="Times New Roman"/>
          <w:color w:val="000000" w:themeColor="text1"/>
          <w:sz w:val="24"/>
          <w:szCs w:val="24"/>
        </w:rPr>
      </w:pPr>
      <w:r w:rsidRPr="00C01820">
        <w:rPr>
          <w:rFonts w:ascii="Times New Roman" w:hAnsi="Times New Roman" w:cs="Times New Roman"/>
          <w:color w:val="000000" w:themeColor="text1"/>
          <w:sz w:val="24"/>
          <w:szCs w:val="24"/>
        </w:rPr>
        <w:t xml:space="preserve">Ukupan broj pruženih usluga organiziranog stanovanja iznosi </w:t>
      </w:r>
      <w:r w:rsidR="003C2DD3" w:rsidRPr="00C01820">
        <w:rPr>
          <w:rFonts w:ascii="Times New Roman" w:hAnsi="Times New Roman" w:cs="Times New Roman"/>
          <w:b/>
          <w:bCs/>
          <w:color w:val="000000" w:themeColor="text1"/>
          <w:sz w:val="24"/>
          <w:szCs w:val="24"/>
          <w:u w:val="single"/>
        </w:rPr>
        <w:t>4.517</w:t>
      </w:r>
      <w:r w:rsidRPr="00C01820">
        <w:rPr>
          <w:rFonts w:ascii="Times New Roman" w:hAnsi="Times New Roman" w:cs="Times New Roman"/>
          <w:b/>
          <w:bCs/>
          <w:color w:val="000000" w:themeColor="text1"/>
          <w:sz w:val="24"/>
          <w:szCs w:val="24"/>
          <w:u w:val="single"/>
        </w:rPr>
        <w:t xml:space="preserve"> usluga</w:t>
      </w:r>
      <w:r w:rsidR="00EF7BE0" w:rsidRPr="00C01820">
        <w:rPr>
          <w:rFonts w:ascii="Times New Roman" w:hAnsi="Times New Roman" w:cs="Times New Roman"/>
          <w:color w:val="000000" w:themeColor="text1"/>
          <w:sz w:val="24"/>
          <w:szCs w:val="24"/>
        </w:rPr>
        <w:t xml:space="preserve"> (25 korisnika -*365 dan</w:t>
      </w:r>
      <w:r w:rsidR="003C2DD3" w:rsidRPr="00C01820">
        <w:rPr>
          <w:rFonts w:ascii="Times New Roman" w:hAnsi="Times New Roman" w:cs="Times New Roman"/>
          <w:color w:val="000000" w:themeColor="text1"/>
          <w:sz w:val="24"/>
          <w:szCs w:val="24"/>
        </w:rPr>
        <w:t>, jedan korisnik preminuo 22.6.</w:t>
      </w:r>
      <w:r w:rsidRPr="00C01820">
        <w:rPr>
          <w:rFonts w:ascii="Times New Roman" w:hAnsi="Times New Roman" w:cs="Times New Roman"/>
          <w:color w:val="000000" w:themeColor="text1"/>
          <w:sz w:val="24"/>
          <w:szCs w:val="24"/>
        </w:rPr>
        <w:t xml:space="preserve">) </w:t>
      </w:r>
    </w:p>
    <w:p w:rsidR="00302C61" w:rsidRPr="00C01820" w:rsidRDefault="00302C61" w:rsidP="00302C61">
      <w:pPr>
        <w:pStyle w:val="NoSpacing"/>
        <w:rPr>
          <w:rFonts w:ascii="Times New Roman" w:hAnsi="Times New Roman" w:cs="Times New Roman"/>
          <w:color w:val="000000" w:themeColor="text1"/>
          <w:sz w:val="24"/>
          <w:szCs w:val="24"/>
        </w:rPr>
      </w:pPr>
      <w:r w:rsidRPr="00C01820">
        <w:rPr>
          <w:rFonts w:ascii="Times New Roman" w:hAnsi="Times New Roman" w:cs="Times New Roman"/>
          <w:color w:val="000000" w:themeColor="text1"/>
          <w:sz w:val="24"/>
          <w:szCs w:val="24"/>
        </w:rPr>
        <w:t xml:space="preserve">Ukupan broj korisnika usluga rane razvojne podrške je </w:t>
      </w:r>
      <w:r w:rsidR="003C2DD3" w:rsidRPr="00C01820">
        <w:rPr>
          <w:rFonts w:ascii="Times New Roman" w:hAnsi="Times New Roman" w:cs="Times New Roman"/>
          <w:b/>
          <w:bCs/>
          <w:color w:val="000000" w:themeColor="text1"/>
          <w:sz w:val="24"/>
          <w:szCs w:val="24"/>
          <w:u w:val="single"/>
        </w:rPr>
        <w:t>103</w:t>
      </w:r>
      <w:r w:rsidRPr="00C01820">
        <w:rPr>
          <w:rFonts w:ascii="Times New Roman" w:hAnsi="Times New Roman" w:cs="Times New Roman"/>
          <w:b/>
          <w:bCs/>
          <w:color w:val="000000" w:themeColor="text1"/>
          <w:sz w:val="24"/>
          <w:szCs w:val="24"/>
          <w:u w:val="single"/>
        </w:rPr>
        <w:t xml:space="preserve"> korisnika</w:t>
      </w:r>
      <w:r w:rsidRPr="00C01820">
        <w:rPr>
          <w:rFonts w:ascii="Times New Roman" w:hAnsi="Times New Roman" w:cs="Times New Roman"/>
          <w:color w:val="000000" w:themeColor="text1"/>
          <w:sz w:val="24"/>
          <w:szCs w:val="24"/>
        </w:rPr>
        <w:t xml:space="preserve"> </w:t>
      </w:r>
    </w:p>
    <w:p w:rsidR="00302C61" w:rsidRPr="00C01820" w:rsidRDefault="00302C61" w:rsidP="00302C61">
      <w:pPr>
        <w:pStyle w:val="NoSpacing"/>
        <w:autoSpaceDN w:val="0"/>
        <w:textAlignment w:val="baseline"/>
        <w:rPr>
          <w:rFonts w:ascii="Times New Roman" w:hAnsi="Times New Roman" w:cs="Times New Roman"/>
          <w:color w:val="000000" w:themeColor="text1"/>
          <w:sz w:val="24"/>
          <w:szCs w:val="24"/>
        </w:rPr>
      </w:pPr>
      <w:r w:rsidRPr="00C01820">
        <w:rPr>
          <w:rFonts w:ascii="Times New Roman" w:hAnsi="Times New Roman" w:cs="Times New Roman"/>
          <w:color w:val="000000" w:themeColor="text1"/>
          <w:sz w:val="24"/>
          <w:szCs w:val="24"/>
        </w:rPr>
        <w:t xml:space="preserve">Ukupan broj pruženih usluga za </w:t>
      </w:r>
      <w:r w:rsidR="003C2DD3" w:rsidRPr="00C01820">
        <w:rPr>
          <w:rFonts w:ascii="Times New Roman" w:hAnsi="Times New Roman" w:cs="Times New Roman"/>
          <w:b/>
          <w:bCs/>
          <w:color w:val="000000" w:themeColor="text1"/>
          <w:sz w:val="24"/>
          <w:szCs w:val="24"/>
        </w:rPr>
        <w:t>103</w:t>
      </w:r>
      <w:r w:rsidRPr="00C01820">
        <w:rPr>
          <w:rFonts w:ascii="Times New Roman" w:hAnsi="Times New Roman" w:cs="Times New Roman"/>
          <w:b/>
          <w:bCs/>
          <w:color w:val="000000" w:themeColor="text1"/>
          <w:sz w:val="24"/>
          <w:szCs w:val="24"/>
        </w:rPr>
        <w:t xml:space="preserve"> korisnika</w:t>
      </w:r>
      <w:r w:rsidRPr="00C01820">
        <w:rPr>
          <w:rFonts w:ascii="Times New Roman" w:hAnsi="Times New Roman" w:cs="Times New Roman"/>
          <w:color w:val="000000" w:themeColor="text1"/>
          <w:sz w:val="24"/>
          <w:szCs w:val="24"/>
        </w:rPr>
        <w:t xml:space="preserve"> rane razvojne podrške za  izvještajno razdoblje iznosi </w:t>
      </w:r>
      <w:r w:rsidR="003C2DD3" w:rsidRPr="00C01820">
        <w:rPr>
          <w:rFonts w:ascii="Times New Roman" w:hAnsi="Times New Roman" w:cs="Times New Roman"/>
          <w:b/>
          <w:bCs/>
          <w:color w:val="000000" w:themeColor="text1"/>
          <w:sz w:val="24"/>
          <w:szCs w:val="24"/>
          <w:u w:val="single"/>
        </w:rPr>
        <w:t>1704</w:t>
      </w:r>
      <w:r w:rsidRPr="00C01820">
        <w:rPr>
          <w:rFonts w:ascii="Times New Roman" w:hAnsi="Times New Roman" w:cs="Times New Roman"/>
          <w:b/>
          <w:bCs/>
          <w:color w:val="000000" w:themeColor="text1"/>
          <w:sz w:val="24"/>
          <w:szCs w:val="24"/>
          <w:u w:val="single"/>
        </w:rPr>
        <w:t xml:space="preserve"> usluga</w:t>
      </w:r>
    </w:p>
    <w:p w:rsidR="00302C61" w:rsidRPr="00C01820" w:rsidRDefault="00302C61" w:rsidP="00302C61">
      <w:pPr>
        <w:pStyle w:val="NoSpacing"/>
        <w:rPr>
          <w:rFonts w:ascii="Times New Roman" w:hAnsi="Times New Roman" w:cs="Times New Roman"/>
          <w:b/>
          <w:bCs/>
          <w:color w:val="000000" w:themeColor="text1"/>
          <w:sz w:val="24"/>
          <w:szCs w:val="24"/>
        </w:rPr>
      </w:pPr>
      <w:r w:rsidRPr="00C01820">
        <w:rPr>
          <w:rFonts w:ascii="Times New Roman" w:hAnsi="Times New Roman" w:cs="Times New Roman"/>
          <w:color w:val="000000" w:themeColor="text1"/>
          <w:sz w:val="24"/>
          <w:szCs w:val="24"/>
        </w:rPr>
        <w:lastRenderedPageBreak/>
        <w:t xml:space="preserve">Ukupan broj korisnika psihosocijalne podrške- </w:t>
      </w:r>
      <w:r w:rsidR="003C2DD3" w:rsidRPr="00C01820">
        <w:rPr>
          <w:rFonts w:ascii="Times New Roman" w:hAnsi="Times New Roman" w:cs="Times New Roman"/>
          <w:b/>
          <w:color w:val="000000" w:themeColor="text1"/>
          <w:sz w:val="24"/>
          <w:szCs w:val="24"/>
          <w:u w:val="single"/>
        </w:rPr>
        <w:t>178</w:t>
      </w:r>
      <w:r w:rsidRPr="00C01820">
        <w:rPr>
          <w:rFonts w:ascii="Times New Roman" w:hAnsi="Times New Roman" w:cs="Times New Roman"/>
          <w:b/>
          <w:bCs/>
          <w:color w:val="000000" w:themeColor="text1"/>
          <w:sz w:val="24"/>
          <w:szCs w:val="24"/>
          <w:u w:val="single"/>
        </w:rPr>
        <w:t xml:space="preserve"> korisnika</w:t>
      </w:r>
    </w:p>
    <w:p w:rsidR="00302C61" w:rsidRPr="00C01820" w:rsidRDefault="00302C61" w:rsidP="00302C61">
      <w:pPr>
        <w:pStyle w:val="NoSpacing"/>
        <w:rPr>
          <w:rFonts w:ascii="Times New Roman" w:hAnsi="Times New Roman" w:cs="Times New Roman"/>
          <w:b/>
          <w:bCs/>
          <w:color w:val="000000" w:themeColor="text1"/>
          <w:sz w:val="24"/>
          <w:szCs w:val="24"/>
        </w:rPr>
      </w:pPr>
      <w:r w:rsidRPr="00C01820">
        <w:rPr>
          <w:rFonts w:ascii="Times New Roman" w:hAnsi="Times New Roman" w:cs="Times New Roman"/>
          <w:color w:val="000000" w:themeColor="text1"/>
          <w:sz w:val="24"/>
          <w:szCs w:val="24"/>
        </w:rPr>
        <w:t xml:space="preserve">Ukupan broj pruženih usluga za </w:t>
      </w:r>
      <w:r w:rsidR="003C2DD3" w:rsidRPr="00C01820">
        <w:rPr>
          <w:rFonts w:ascii="Times New Roman" w:hAnsi="Times New Roman" w:cs="Times New Roman"/>
          <w:b/>
          <w:bCs/>
          <w:color w:val="000000" w:themeColor="text1"/>
          <w:sz w:val="24"/>
          <w:szCs w:val="24"/>
        </w:rPr>
        <w:t>178</w:t>
      </w:r>
      <w:r w:rsidRPr="00C01820">
        <w:rPr>
          <w:rFonts w:ascii="Times New Roman" w:hAnsi="Times New Roman" w:cs="Times New Roman"/>
          <w:b/>
          <w:bCs/>
          <w:color w:val="000000" w:themeColor="text1"/>
          <w:sz w:val="24"/>
          <w:szCs w:val="24"/>
        </w:rPr>
        <w:t xml:space="preserve"> korisnika</w:t>
      </w:r>
      <w:r w:rsidRPr="00C01820">
        <w:rPr>
          <w:rFonts w:ascii="Times New Roman" w:hAnsi="Times New Roman" w:cs="Times New Roman"/>
          <w:color w:val="000000" w:themeColor="text1"/>
          <w:sz w:val="24"/>
          <w:szCs w:val="24"/>
        </w:rPr>
        <w:t xml:space="preserve"> psihosocijalne podrške za izvještajno razdoblje iznosi </w:t>
      </w:r>
      <w:r w:rsidR="003C2DD3" w:rsidRPr="00C01820">
        <w:rPr>
          <w:rFonts w:ascii="Times New Roman" w:hAnsi="Times New Roman" w:cs="Times New Roman"/>
          <w:b/>
          <w:bCs/>
          <w:color w:val="000000" w:themeColor="text1"/>
          <w:sz w:val="24"/>
          <w:szCs w:val="24"/>
          <w:u w:val="single"/>
        </w:rPr>
        <w:t>3443</w:t>
      </w:r>
      <w:r w:rsidRPr="00C01820">
        <w:rPr>
          <w:rFonts w:ascii="Times New Roman" w:hAnsi="Times New Roman" w:cs="Times New Roman"/>
          <w:b/>
          <w:bCs/>
          <w:color w:val="000000" w:themeColor="text1"/>
          <w:sz w:val="24"/>
          <w:szCs w:val="24"/>
          <w:u w:val="single"/>
        </w:rPr>
        <w:t xml:space="preserve"> usluga</w:t>
      </w:r>
    </w:p>
    <w:p w:rsidR="00302C61" w:rsidRPr="00C01820" w:rsidRDefault="00302C61" w:rsidP="00302C61">
      <w:pPr>
        <w:pStyle w:val="NoSpacing"/>
        <w:rPr>
          <w:rFonts w:ascii="Times New Roman" w:hAnsi="Times New Roman" w:cs="Times New Roman"/>
          <w:color w:val="000000" w:themeColor="text1"/>
          <w:sz w:val="24"/>
          <w:szCs w:val="24"/>
        </w:rPr>
      </w:pPr>
      <w:r w:rsidRPr="00C01820">
        <w:rPr>
          <w:rFonts w:ascii="Times New Roman" w:hAnsi="Times New Roman" w:cs="Times New Roman"/>
          <w:color w:val="000000" w:themeColor="text1"/>
          <w:sz w:val="24"/>
          <w:szCs w:val="24"/>
        </w:rPr>
        <w:t xml:space="preserve">Ukupan broj korisnika stručne procjene- </w:t>
      </w:r>
      <w:r w:rsidR="003C2DD3" w:rsidRPr="00C01820">
        <w:rPr>
          <w:rFonts w:ascii="Times New Roman" w:hAnsi="Times New Roman" w:cs="Times New Roman"/>
          <w:b/>
          <w:color w:val="000000" w:themeColor="text1"/>
          <w:sz w:val="24"/>
          <w:szCs w:val="24"/>
          <w:u w:val="single"/>
        </w:rPr>
        <w:t>102</w:t>
      </w:r>
      <w:r w:rsidRPr="00C01820">
        <w:rPr>
          <w:rFonts w:ascii="Times New Roman" w:hAnsi="Times New Roman" w:cs="Times New Roman"/>
          <w:b/>
          <w:bCs/>
          <w:color w:val="000000" w:themeColor="text1"/>
          <w:sz w:val="24"/>
          <w:szCs w:val="24"/>
          <w:u w:val="single"/>
        </w:rPr>
        <w:t xml:space="preserve"> korisnika</w:t>
      </w:r>
    </w:p>
    <w:p w:rsidR="00302C61" w:rsidRPr="00C01820" w:rsidRDefault="00302C61" w:rsidP="00302C61">
      <w:pPr>
        <w:pStyle w:val="NoSpacing"/>
        <w:rPr>
          <w:rFonts w:ascii="Times New Roman" w:hAnsi="Times New Roman" w:cs="Times New Roman"/>
          <w:b/>
          <w:bCs/>
          <w:color w:val="000000" w:themeColor="text1"/>
          <w:sz w:val="24"/>
          <w:szCs w:val="24"/>
        </w:rPr>
      </w:pPr>
      <w:r w:rsidRPr="00C01820">
        <w:rPr>
          <w:rFonts w:ascii="Times New Roman" w:hAnsi="Times New Roman" w:cs="Times New Roman"/>
          <w:color w:val="000000" w:themeColor="text1"/>
          <w:sz w:val="24"/>
          <w:szCs w:val="24"/>
        </w:rPr>
        <w:t xml:space="preserve">Ukupan broj pruženih usluga za </w:t>
      </w:r>
      <w:r w:rsidRPr="00C01820">
        <w:rPr>
          <w:rFonts w:ascii="Times New Roman" w:hAnsi="Times New Roman" w:cs="Times New Roman"/>
          <w:b/>
          <w:bCs/>
          <w:color w:val="000000" w:themeColor="text1"/>
          <w:sz w:val="24"/>
          <w:szCs w:val="24"/>
        </w:rPr>
        <w:t>1</w:t>
      </w:r>
      <w:r w:rsidR="003C2DD3" w:rsidRPr="00C01820">
        <w:rPr>
          <w:rFonts w:ascii="Times New Roman" w:hAnsi="Times New Roman" w:cs="Times New Roman"/>
          <w:b/>
          <w:bCs/>
          <w:color w:val="000000" w:themeColor="text1"/>
          <w:sz w:val="24"/>
          <w:szCs w:val="24"/>
        </w:rPr>
        <w:t>02</w:t>
      </w:r>
      <w:r w:rsidRPr="00C01820">
        <w:rPr>
          <w:rFonts w:ascii="Times New Roman" w:hAnsi="Times New Roman" w:cs="Times New Roman"/>
          <w:b/>
          <w:bCs/>
          <w:color w:val="000000" w:themeColor="text1"/>
          <w:sz w:val="24"/>
          <w:szCs w:val="24"/>
        </w:rPr>
        <w:t xml:space="preserve"> korisnika</w:t>
      </w:r>
      <w:r w:rsidRPr="00C01820">
        <w:rPr>
          <w:rFonts w:ascii="Times New Roman" w:hAnsi="Times New Roman" w:cs="Times New Roman"/>
          <w:color w:val="000000" w:themeColor="text1"/>
          <w:sz w:val="24"/>
          <w:szCs w:val="24"/>
        </w:rPr>
        <w:t xml:space="preserve"> stručne procjene za polugodišnje razdoblje iznosi </w:t>
      </w:r>
      <w:r w:rsidRPr="00C01820">
        <w:rPr>
          <w:rFonts w:ascii="Times New Roman" w:hAnsi="Times New Roman" w:cs="Times New Roman"/>
          <w:b/>
          <w:bCs/>
          <w:color w:val="000000" w:themeColor="text1"/>
          <w:sz w:val="24"/>
          <w:szCs w:val="24"/>
        </w:rPr>
        <w:t> </w:t>
      </w:r>
      <w:r w:rsidRPr="00C01820">
        <w:rPr>
          <w:rFonts w:ascii="Times New Roman" w:hAnsi="Times New Roman" w:cs="Times New Roman"/>
          <w:b/>
          <w:bCs/>
          <w:color w:val="000000" w:themeColor="text1"/>
          <w:sz w:val="24"/>
          <w:szCs w:val="24"/>
          <w:u w:val="single"/>
        </w:rPr>
        <w:t>1</w:t>
      </w:r>
      <w:r w:rsidR="003C2DD3" w:rsidRPr="00C01820">
        <w:rPr>
          <w:rFonts w:ascii="Times New Roman" w:hAnsi="Times New Roman" w:cs="Times New Roman"/>
          <w:b/>
          <w:bCs/>
          <w:color w:val="000000" w:themeColor="text1"/>
          <w:sz w:val="24"/>
          <w:szCs w:val="24"/>
          <w:u w:val="single"/>
        </w:rPr>
        <w:t>0</w:t>
      </w:r>
      <w:r w:rsidRPr="00C01820">
        <w:rPr>
          <w:rFonts w:ascii="Times New Roman" w:hAnsi="Times New Roman" w:cs="Times New Roman"/>
          <w:b/>
          <w:bCs/>
          <w:color w:val="000000" w:themeColor="text1"/>
          <w:sz w:val="24"/>
          <w:szCs w:val="24"/>
          <w:u w:val="single"/>
        </w:rPr>
        <w:t>2 usluga</w:t>
      </w:r>
    </w:p>
    <w:p w:rsidR="00752F61" w:rsidRPr="00C01820" w:rsidRDefault="00752F61" w:rsidP="00F2415E">
      <w:pPr>
        <w:pStyle w:val="NoSpacing"/>
        <w:ind w:left="1416"/>
        <w:rPr>
          <w:rFonts w:ascii="Times New Roman" w:hAnsi="Times New Roman" w:cs="Times New Roman"/>
          <w:b/>
          <w:color w:val="FF0000"/>
          <w:sz w:val="24"/>
          <w:szCs w:val="24"/>
        </w:rPr>
      </w:pPr>
    </w:p>
    <w:p w:rsidR="00302C61" w:rsidRPr="00C01820" w:rsidRDefault="00302C61" w:rsidP="00F2415E">
      <w:pPr>
        <w:pStyle w:val="NoSpacing"/>
        <w:ind w:left="1416"/>
        <w:rPr>
          <w:rFonts w:ascii="Times New Roman" w:hAnsi="Times New Roman" w:cs="Times New Roman"/>
          <w:b/>
          <w:color w:val="FF0000"/>
          <w:sz w:val="24"/>
          <w:szCs w:val="24"/>
        </w:rPr>
      </w:pPr>
    </w:p>
    <w:p w:rsidR="00A34C03" w:rsidRPr="00C01820" w:rsidRDefault="00FC04D1">
      <w:pPr>
        <w:spacing w:after="120"/>
      </w:pPr>
      <w:r w:rsidRPr="00C01820">
        <w:rPr>
          <w:b/>
        </w:rPr>
        <w:t>POSEBNI IZVJEŠTAJI</w:t>
      </w:r>
      <w:r w:rsidR="00C01820" w:rsidRPr="00C01820">
        <w:rPr>
          <w:b/>
        </w:rPr>
        <w:t xml:space="preserve"> U POLUGODIŠNJEM IZVJEŠTAJU O IZVRŠENJU FINANCIJSKOG PLANA ZA 2026. GODINU</w:t>
      </w:r>
    </w:p>
    <w:p w:rsidR="00A34C03" w:rsidRPr="00C01820" w:rsidRDefault="00FC04D1">
      <w:pPr>
        <w:spacing w:after="120"/>
      </w:pPr>
      <w:r w:rsidRPr="00C01820">
        <w:t>Centar se u izvještajn</w:t>
      </w:r>
      <w:r w:rsidRPr="00C01820">
        <w:t xml:space="preserve">om razdoblju nije zaduživao na domaćem ni stranom tržištu novca i kapitala, nije koristio sredstva fondova Europske unije te nije davao zajmove ni jamstva. Na dan 30. lipnja 2026. godine Centar nema nenaplaćenih potraživanja, nepodmirenih dospjelih obveza </w:t>
      </w:r>
      <w:r w:rsidRPr="00C01820">
        <w:t>ni potencijalnih obveza po osnovi sudskih sporova. Sve dospjele obveze podmirene su u roku dospijeća, dok ukupno stanje nedospjelih obveza na dan 30. lipnja 2026. godine iznosi 294.986,85 eura.</w:t>
      </w:r>
    </w:p>
    <w:p w:rsidR="00C01820" w:rsidRPr="00C01820" w:rsidRDefault="00C01820">
      <w:pPr>
        <w:spacing w:after="120"/>
      </w:pPr>
    </w:p>
    <w:p w:rsidR="00C01820" w:rsidRPr="00C01820" w:rsidRDefault="00C01820">
      <w:pPr>
        <w:spacing w:after="120"/>
      </w:pPr>
    </w:p>
    <w:p w:rsidR="00A34C03" w:rsidRPr="00C01820" w:rsidRDefault="00FC04D1">
      <w:pPr>
        <w:spacing w:after="120"/>
      </w:pPr>
      <w:r w:rsidRPr="00C01820">
        <w:rPr>
          <w:b/>
        </w:rPr>
        <w:t>ZAKLJUČAK</w:t>
      </w:r>
    </w:p>
    <w:p w:rsidR="00A34C03" w:rsidRPr="00C01820" w:rsidRDefault="00FC04D1">
      <w:pPr>
        <w:spacing w:after="120"/>
      </w:pPr>
      <w:r w:rsidRPr="00C01820">
        <w:t>Tijekom prvog polugodišta 2026. godine Centar je kon</w:t>
      </w:r>
      <w:r w:rsidRPr="00C01820">
        <w:t>tinuirano provodio redovnu djelatnost i pružao ugovorene socijalne usluge u skladu s financijskim planom i raspoloživim sredstvima. Sredstva su korištena namjenski i racionalno, prvenstveno za rashode zaposlenih i materijalne uvjete potrebne za rad Centra.</w:t>
      </w:r>
      <w:r w:rsidRPr="00C01820">
        <w:t xml:space="preserve"> Nisu provođeni kapitalni projekti, a manji rashod za nabavu opreme evidentiran je u okviru redovne djelatnosti. Ostvareni broj korisnika i pruženih usluga potvrđuje kontinuitet, dostupnost i kvalitetu rada Centra u izvještajnom razdoblju.</w:t>
      </w:r>
    </w:p>
    <w:p w:rsidR="00C01820" w:rsidRDefault="00C01820">
      <w:pPr>
        <w:spacing w:after="120"/>
        <w:rPr>
          <w:sz w:val="22"/>
        </w:rPr>
      </w:pPr>
    </w:p>
    <w:p w:rsidR="00C01820" w:rsidRDefault="00C01820">
      <w:pPr>
        <w:spacing w:after="120"/>
        <w:rPr>
          <w:sz w:val="22"/>
        </w:rPr>
      </w:pPr>
    </w:p>
    <w:p w:rsidR="00C01820" w:rsidRDefault="00C01820">
      <w:pPr>
        <w:spacing w:after="120"/>
      </w:pPr>
    </w:p>
    <w:p w:rsidR="0059363E" w:rsidRPr="00FB06A4" w:rsidRDefault="00FB06A4" w:rsidP="00FB06A4">
      <w:pPr>
        <w:pStyle w:val="NoSpacing"/>
        <w:rPr>
          <w:rFonts w:ascii="Arial" w:hAnsi="Arial" w:cs="Arial"/>
          <w:i/>
        </w:rPr>
      </w:pPr>
      <w:r w:rsidRPr="00FB06A4">
        <w:rPr>
          <w:rFonts w:ascii="Arial" w:hAnsi="Arial" w:cs="Arial"/>
          <w:i/>
        </w:rPr>
        <w:t>Ravnateljica:</w:t>
      </w:r>
      <w:r w:rsidRPr="00FB06A4">
        <w:rPr>
          <w:rFonts w:ascii="Arial" w:hAnsi="Arial" w:cs="Arial"/>
          <w:i/>
        </w:rPr>
        <w:tab/>
      </w:r>
      <w:r w:rsidRPr="00FB06A4">
        <w:rPr>
          <w:rFonts w:ascii="Arial" w:hAnsi="Arial" w:cs="Arial"/>
          <w:i/>
        </w:rPr>
        <w:tab/>
      </w:r>
      <w:r w:rsidRPr="00FB06A4">
        <w:rPr>
          <w:rFonts w:ascii="Arial" w:hAnsi="Arial" w:cs="Arial"/>
          <w:i/>
        </w:rPr>
        <w:tab/>
      </w:r>
      <w:r w:rsidRPr="00FB06A4">
        <w:rPr>
          <w:rFonts w:ascii="Arial" w:hAnsi="Arial" w:cs="Arial"/>
          <w:i/>
        </w:rPr>
        <w:tab/>
      </w:r>
      <w:r w:rsidRPr="00FB06A4">
        <w:rPr>
          <w:rFonts w:ascii="Arial" w:hAnsi="Arial" w:cs="Arial"/>
          <w:i/>
        </w:rPr>
        <w:tab/>
      </w:r>
      <w:r w:rsidRPr="00FB06A4">
        <w:rPr>
          <w:rFonts w:ascii="Arial" w:hAnsi="Arial" w:cs="Arial"/>
          <w:i/>
        </w:rPr>
        <w:tab/>
        <w:t>Predsjednica Upravnog vijeća:</w:t>
      </w:r>
      <w:r w:rsidR="000D6071" w:rsidRPr="00FB06A4">
        <w:rPr>
          <w:rFonts w:ascii="Arial" w:hAnsi="Arial" w:cs="Arial"/>
        </w:rPr>
        <w:t xml:space="preserve">                              </w:t>
      </w:r>
      <w:r w:rsidRPr="00FB06A4">
        <w:rPr>
          <w:rFonts w:ascii="Arial" w:hAnsi="Arial" w:cs="Arial"/>
        </w:rPr>
        <w:t xml:space="preserve">Vlatka Tucelj Omeragić,dipl.soc.rad.                </w:t>
      </w:r>
      <w:r w:rsidRPr="00FB06A4">
        <w:rPr>
          <w:rFonts w:ascii="Arial" w:hAnsi="Arial" w:cs="Arial"/>
          <w:i/>
        </w:rPr>
        <w:t>Marija Brajdić Vuković, izv.prof.dr.sc.</w:t>
      </w:r>
      <w:r w:rsidR="000D6071" w:rsidRPr="00FB06A4">
        <w:rPr>
          <w:rFonts w:ascii="Arial" w:hAnsi="Arial" w:cs="Arial"/>
          <w:i/>
        </w:rPr>
        <w:t xml:space="preserve">                                  </w:t>
      </w:r>
      <w:r w:rsidR="00D826C9" w:rsidRPr="00FB06A4">
        <w:rPr>
          <w:rFonts w:ascii="Arial" w:hAnsi="Arial" w:cs="Arial"/>
          <w:i/>
        </w:rPr>
        <w:t>.</w:t>
      </w:r>
    </w:p>
    <w:p w:rsidR="000D6071" w:rsidRPr="00FB06A4" w:rsidRDefault="000D6071" w:rsidP="00D01C79">
      <w:pPr>
        <w:pStyle w:val="NoSpacing"/>
        <w:rPr>
          <w:rFonts w:ascii="Arial" w:hAnsi="Arial" w:cs="Arial"/>
        </w:rPr>
      </w:pPr>
    </w:p>
    <w:p w:rsidR="0059363E" w:rsidRPr="00FB06A4" w:rsidRDefault="000D6071" w:rsidP="00D01C79">
      <w:pPr>
        <w:pStyle w:val="NoSpacing"/>
        <w:rPr>
          <w:rFonts w:ascii="Arial" w:hAnsi="Arial" w:cs="Arial"/>
        </w:rPr>
      </w:pPr>
      <w:r w:rsidRPr="00FB06A4">
        <w:rPr>
          <w:rFonts w:ascii="Arial" w:hAnsi="Arial" w:cs="Arial"/>
        </w:rPr>
        <w:t xml:space="preserve">   </w:t>
      </w:r>
      <w:r w:rsidR="0059363E" w:rsidRPr="00FB06A4">
        <w:rPr>
          <w:rFonts w:ascii="Arial" w:hAnsi="Arial" w:cs="Arial"/>
        </w:rPr>
        <w:t>________________________</w:t>
      </w:r>
      <w:r w:rsidR="00FB06A4" w:rsidRPr="00FB06A4">
        <w:rPr>
          <w:rFonts w:ascii="Arial" w:hAnsi="Arial" w:cs="Arial"/>
        </w:rPr>
        <w:t xml:space="preserve">                            ____________________________</w:t>
      </w:r>
    </w:p>
    <w:p w:rsidR="00A8439C" w:rsidRPr="00FB06A4" w:rsidRDefault="000D6071" w:rsidP="00D01C79">
      <w:pPr>
        <w:pStyle w:val="NoSpacing"/>
        <w:rPr>
          <w:rFonts w:ascii="Arial" w:hAnsi="Arial" w:cs="Arial"/>
        </w:rPr>
      </w:pPr>
      <w:r w:rsidRPr="00FB06A4">
        <w:rPr>
          <w:rFonts w:ascii="Arial" w:hAnsi="Arial" w:cs="Arial"/>
        </w:rPr>
        <w:tab/>
      </w:r>
      <w:r w:rsidRPr="00FB06A4">
        <w:rPr>
          <w:rFonts w:ascii="Arial" w:hAnsi="Arial" w:cs="Arial"/>
        </w:rPr>
        <w:tab/>
      </w:r>
      <w:r w:rsidRPr="00FB06A4">
        <w:rPr>
          <w:rFonts w:ascii="Arial" w:hAnsi="Arial" w:cs="Arial"/>
        </w:rPr>
        <w:tab/>
      </w:r>
      <w:r w:rsidRPr="00FB06A4">
        <w:rPr>
          <w:rFonts w:ascii="Arial" w:hAnsi="Arial" w:cs="Arial"/>
        </w:rPr>
        <w:tab/>
      </w:r>
      <w:r w:rsidRPr="00FB06A4">
        <w:rPr>
          <w:rFonts w:ascii="Arial" w:hAnsi="Arial" w:cs="Arial"/>
        </w:rPr>
        <w:tab/>
      </w:r>
      <w:r w:rsidR="00D01C79" w:rsidRPr="00FB06A4">
        <w:rPr>
          <w:rFonts w:ascii="Arial" w:hAnsi="Arial" w:cs="Arial"/>
        </w:rPr>
        <w:tab/>
      </w:r>
    </w:p>
    <w:sectPr w:rsidR="00A8439C" w:rsidRPr="00FB06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6DDD"/>
    <w:multiLevelType w:val="hybridMultilevel"/>
    <w:tmpl w:val="007CDD74"/>
    <w:lvl w:ilvl="0" w:tplc="AC40B876">
      <w:start w:val="1"/>
      <w:numFmt w:val="bullet"/>
      <w:lvlText w:val="-"/>
      <w:lvlJc w:val="left"/>
      <w:pPr>
        <w:ind w:left="1770" w:hanging="360"/>
      </w:pPr>
      <w:rPr>
        <w:rFonts w:ascii="Arial" w:eastAsiaTheme="minorHAnsi" w:hAnsi="Arial" w:cs="Arial" w:hint="default"/>
        <w:sz w:val="20"/>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1" w15:restartNumberingAfterBreak="0">
    <w:nsid w:val="133B048D"/>
    <w:multiLevelType w:val="hybridMultilevel"/>
    <w:tmpl w:val="4B2AE360"/>
    <w:lvl w:ilvl="0" w:tplc="B950DC70">
      <w:start w:val="1"/>
      <w:numFmt w:val="bullet"/>
      <w:lvlText w:val="-"/>
      <w:lvlJc w:val="left"/>
      <w:pPr>
        <w:ind w:left="1065" w:hanging="360"/>
      </w:pPr>
      <w:rPr>
        <w:rFonts w:ascii="Arial" w:eastAsia="Times New Roman"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15:restartNumberingAfterBreak="0">
    <w:nsid w:val="41B56DFA"/>
    <w:multiLevelType w:val="hybridMultilevel"/>
    <w:tmpl w:val="8F7AC3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8DD1BCD"/>
    <w:multiLevelType w:val="hybridMultilevel"/>
    <w:tmpl w:val="C49C0C5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7DB3F97"/>
    <w:multiLevelType w:val="hybridMultilevel"/>
    <w:tmpl w:val="3182C46A"/>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7CF33FF2"/>
    <w:multiLevelType w:val="multilevel"/>
    <w:tmpl w:val="E42055EA"/>
    <w:lvl w:ilvl="0">
      <w:numFmt w:val="bullet"/>
      <w:lvlText w:val="-"/>
      <w:lvlJc w:val="left"/>
      <w:pPr>
        <w:ind w:left="2490" w:hanging="360"/>
      </w:pPr>
      <w:rPr>
        <w:rFonts w:ascii="Calibri" w:eastAsia="SimSun" w:hAnsi="Calibri" w:cs="Calibri"/>
      </w:rPr>
    </w:lvl>
    <w:lvl w:ilvl="1">
      <w:numFmt w:val="bullet"/>
      <w:lvlText w:val="o"/>
      <w:lvlJc w:val="left"/>
      <w:pPr>
        <w:ind w:left="3210" w:hanging="360"/>
      </w:pPr>
      <w:rPr>
        <w:rFonts w:ascii="Courier New" w:hAnsi="Courier New" w:cs="Courier New"/>
      </w:rPr>
    </w:lvl>
    <w:lvl w:ilvl="2">
      <w:numFmt w:val="bullet"/>
      <w:lvlText w:val=""/>
      <w:lvlJc w:val="left"/>
      <w:pPr>
        <w:ind w:left="3930" w:hanging="360"/>
      </w:pPr>
      <w:rPr>
        <w:rFonts w:ascii="Wingdings" w:hAnsi="Wingdings"/>
      </w:rPr>
    </w:lvl>
    <w:lvl w:ilvl="3">
      <w:numFmt w:val="bullet"/>
      <w:lvlText w:val=""/>
      <w:lvlJc w:val="left"/>
      <w:pPr>
        <w:ind w:left="4650" w:hanging="360"/>
      </w:pPr>
      <w:rPr>
        <w:rFonts w:ascii="Symbol" w:hAnsi="Symbol"/>
      </w:rPr>
    </w:lvl>
    <w:lvl w:ilvl="4">
      <w:numFmt w:val="bullet"/>
      <w:lvlText w:val="o"/>
      <w:lvlJc w:val="left"/>
      <w:pPr>
        <w:ind w:left="5370" w:hanging="360"/>
      </w:pPr>
      <w:rPr>
        <w:rFonts w:ascii="Courier New" w:hAnsi="Courier New" w:cs="Courier New"/>
      </w:rPr>
    </w:lvl>
    <w:lvl w:ilvl="5">
      <w:numFmt w:val="bullet"/>
      <w:lvlText w:val=""/>
      <w:lvlJc w:val="left"/>
      <w:pPr>
        <w:ind w:left="6090" w:hanging="360"/>
      </w:pPr>
      <w:rPr>
        <w:rFonts w:ascii="Wingdings" w:hAnsi="Wingdings"/>
      </w:rPr>
    </w:lvl>
    <w:lvl w:ilvl="6">
      <w:numFmt w:val="bullet"/>
      <w:lvlText w:val=""/>
      <w:lvlJc w:val="left"/>
      <w:pPr>
        <w:ind w:left="6810" w:hanging="360"/>
      </w:pPr>
      <w:rPr>
        <w:rFonts w:ascii="Symbol" w:hAnsi="Symbol"/>
      </w:rPr>
    </w:lvl>
    <w:lvl w:ilvl="7">
      <w:numFmt w:val="bullet"/>
      <w:lvlText w:val="o"/>
      <w:lvlJc w:val="left"/>
      <w:pPr>
        <w:ind w:left="7530" w:hanging="360"/>
      </w:pPr>
      <w:rPr>
        <w:rFonts w:ascii="Courier New" w:hAnsi="Courier New" w:cs="Courier New"/>
      </w:rPr>
    </w:lvl>
    <w:lvl w:ilvl="8">
      <w:numFmt w:val="bullet"/>
      <w:lvlText w:val=""/>
      <w:lvlJc w:val="left"/>
      <w:pPr>
        <w:ind w:left="8250" w:hanging="360"/>
      </w:pPr>
      <w:rPr>
        <w:rFonts w:ascii="Wingdings" w:hAnsi="Wingdings"/>
      </w:rPr>
    </w:lvl>
  </w:abstractNum>
  <w:num w:numId="1">
    <w:abstractNumId w:val="4"/>
  </w:num>
  <w:num w:numId="2">
    <w:abstractNumId w:val="5"/>
  </w:num>
  <w:num w:numId="3">
    <w:abstractNumId w:val="2"/>
  </w:num>
  <w:num w:numId="4">
    <w:abstractNumId w:val="0"/>
  </w:num>
  <w:num w:numId="5">
    <w:abstractNumId w:val="1"/>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C79"/>
    <w:rsid w:val="00011B13"/>
    <w:rsid w:val="00014DC9"/>
    <w:rsid w:val="00020BEE"/>
    <w:rsid w:val="00023776"/>
    <w:rsid w:val="0003016D"/>
    <w:rsid w:val="0003713C"/>
    <w:rsid w:val="00052DC4"/>
    <w:rsid w:val="00057EC6"/>
    <w:rsid w:val="00071AEA"/>
    <w:rsid w:val="000874E4"/>
    <w:rsid w:val="00090703"/>
    <w:rsid w:val="00096A08"/>
    <w:rsid w:val="000D6071"/>
    <w:rsid w:val="000F45C6"/>
    <w:rsid w:val="000F61C5"/>
    <w:rsid w:val="00116ACF"/>
    <w:rsid w:val="00126C77"/>
    <w:rsid w:val="00152D47"/>
    <w:rsid w:val="00154DBE"/>
    <w:rsid w:val="00182D73"/>
    <w:rsid w:val="001923A7"/>
    <w:rsid w:val="00197E30"/>
    <w:rsid w:val="001A40D8"/>
    <w:rsid w:val="001B2A24"/>
    <w:rsid w:val="001B66AA"/>
    <w:rsid w:val="001C3ADB"/>
    <w:rsid w:val="001C694B"/>
    <w:rsid w:val="00204275"/>
    <w:rsid w:val="00204DF6"/>
    <w:rsid w:val="00206331"/>
    <w:rsid w:val="00211333"/>
    <w:rsid w:val="00236D41"/>
    <w:rsid w:val="00244F12"/>
    <w:rsid w:val="002500EB"/>
    <w:rsid w:val="002611D7"/>
    <w:rsid w:val="002625E2"/>
    <w:rsid w:val="002711D9"/>
    <w:rsid w:val="002814CD"/>
    <w:rsid w:val="00285B57"/>
    <w:rsid w:val="002B5585"/>
    <w:rsid w:val="002C45A5"/>
    <w:rsid w:val="002C4E1F"/>
    <w:rsid w:val="002D100A"/>
    <w:rsid w:val="002F02D0"/>
    <w:rsid w:val="00302C61"/>
    <w:rsid w:val="00317C7B"/>
    <w:rsid w:val="00343A67"/>
    <w:rsid w:val="00354038"/>
    <w:rsid w:val="003B46AE"/>
    <w:rsid w:val="003C2DD3"/>
    <w:rsid w:val="003C4DC9"/>
    <w:rsid w:val="003E607D"/>
    <w:rsid w:val="004326A2"/>
    <w:rsid w:val="00445EB9"/>
    <w:rsid w:val="004531DA"/>
    <w:rsid w:val="0046030D"/>
    <w:rsid w:val="00464D5D"/>
    <w:rsid w:val="004868DA"/>
    <w:rsid w:val="00487196"/>
    <w:rsid w:val="004A26C1"/>
    <w:rsid w:val="004A4DBD"/>
    <w:rsid w:val="004C3E62"/>
    <w:rsid w:val="004C6589"/>
    <w:rsid w:val="004E61B4"/>
    <w:rsid w:val="004F0401"/>
    <w:rsid w:val="0051093D"/>
    <w:rsid w:val="00521377"/>
    <w:rsid w:val="00524E73"/>
    <w:rsid w:val="005479AD"/>
    <w:rsid w:val="00565E1B"/>
    <w:rsid w:val="0059363E"/>
    <w:rsid w:val="005A3CBD"/>
    <w:rsid w:val="005C6F65"/>
    <w:rsid w:val="005D46AE"/>
    <w:rsid w:val="00626B86"/>
    <w:rsid w:val="00630B03"/>
    <w:rsid w:val="00633AD9"/>
    <w:rsid w:val="00644E01"/>
    <w:rsid w:val="00651731"/>
    <w:rsid w:val="00661B4B"/>
    <w:rsid w:val="006A46BE"/>
    <w:rsid w:val="006B4F01"/>
    <w:rsid w:val="006B76BC"/>
    <w:rsid w:val="006E35A3"/>
    <w:rsid w:val="00730C31"/>
    <w:rsid w:val="00740738"/>
    <w:rsid w:val="00742581"/>
    <w:rsid w:val="0074453A"/>
    <w:rsid w:val="00752F61"/>
    <w:rsid w:val="00787868"/>
    <w:rsid w:val="007912F8"/>
    <w:rsid w:val="00797E1C"/>
    <w:rsid w:val="007C00BC"/>
    <w:rsid w:val="007D0A98"/>
    <w:rsid w:val="007E50A8"/>
    <w:rsid w:val="008022AF"/>
    <w:rsid w:val="00811157"/>
    <w:rsid w:val="008115ED"/>
    <w:rsid w:val="00816BB7"/>
    <w:rsid w:val="00835170"/>
    <w:rsid w:val="00835334"/>
    <w:rsid w:val="0083541A"/>
    <w:rsid w:val="008539F0"/>
    <w:rsid w:val="00885C82"/>
    <w:rsid w:val="008939EF"/>
    <w:rsid w:val="00896ECD"/>
    <w:rsid w:val="008A600E"/>
    <w:rsid w:val="008B3B4A"/>
    <w:rsid w:val="008E612A"/>
    <w:rsid w:val="008F4722"/>
    <w:rsid w:val="009028F3"/>
    <w:rsid w:val="00925536"/>
    <w:rsid w:val="009C1749"/>
    <w:rsid w:val="009E730D"/>
    <w:rsid w:val="009E78A1"/>
    <w:rsid w:val="00A34C03"/>
    <w:rsid w:val="00A8110A"/>
    <w:rsid w:val="00A8439C"/>
    <w:rsid w:val="00A9637E"/>
    <w:rsid w:val="00AB3CF8"/>
    <w:rsid w:val="00AD5473"/>
    <w:rsid w:val="00AD7C6C"/>
    <w:rsid w:val="00AE57DB"/>
    <w:rsid w:val="00AF1E5A"/>
    <w:rsid w:val="00AF5155"/>
    <w:rsid w:val="00B27C12"/>
    <w:rsid w:val="00B67A79"/>
    <w:rsid w:val="00B73C3C"/>
    <w:rsid w:val="00B91028"/>
    <w:rsid w:val="00BA32A2"/>
    <w:rsid w:val="00BB1F00"/>
    <w:rsid w:val="00BB7948"/>
    <w:rsid w:val="00C01820"/>
    <w:rsid w:val="00C177F9"/>
    <w:rsid w:val="00C24A20"/>
    <w:rsid w:val="00C40678"/>
    <w:rsid w:val="00C52106"/>
    <w:rsid w:val="00C7002D"/>
    <w:rsid w:val="00CA1AB6"/>
    <w:rsid w:val="00CA47EF"/>
    <w:rsid w:val="00CC57F3"/>
    <w:rsid w:val="00CC7BA6"/>
    <w:rsid w:val="00CD44B7"/>
    <w:rsid w:val="00CD6C70"/>
    <w:rsid w:val="00CE0DE3"/>
    <w:rsid w:val="00D01C79"/>
    <w:rsid w:val="00D12A4B"/>
    <w:rsid w:val="00D826C9"/>
    <w:rsid w:val="00DB072C"/>
    <w:rsid w:val="00DC1236"/>
    <w:rsid w:val="00E00D3B"/>
    <w:rsid w:val="00E15703"/>
    <w:rsid w:val="00E25810"/>
    <w:rsid w:val="00E259ED"/>
    <w:rsid w:val="00E337FD"/>
    <w:rsid w:val="00E42EDE"/>
    <w:rsid w:val="00E543BB"/>
    <w:rsid w:val="00E6058A"/>
    <w:rsid w:val="00E8373B"/>
    <w:rsid w:val="00E85ECF"/>
    <w:rsid w:val="00E873A2"/>
    <w:rsid w:val="00EB6AA8"/>
    <w:rsid w:val="00EC09E2"/>
    <w:rsid w:val="00EE30B9"/>
    <w:rsid w:val="00EE4706"/>
    <w:rsid w:val="00EF7BE0"/>
    <w:rsid w:val="00F07F30"/>
    <w:rsid w:val="00F10D28"/>
    <w:rsid w:val="00F15896"/>
    <w:rsid w:val="00F1644F"/>
    <w:rsid w:val="00F2415E"/>
    <w:rsid w:val="00F33711"/>
    <w:rsid w:val="00F339D1"/>
    <w:rsid w:val="00F439C1"/>
    <w:rsid w:val="00F46D2E"/>
    <w:rsid w:val="00F61B37"/>
    <w:rsid w:val="00F6274E"/>
    <w:rsid w:val="00F741AC"/>
    <w:rsid w:val="00F96420"/>
    <w:rsid w:val="00FB06A4"/>
    <w:rsid w:val="00FC04D1"/>
    <w:rsid w:val="00FC4CFD"/>
    <w:rsid w:val="00FE0845"/>
    <w:rsid w:val="00FF21F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6B94C"/>
  <w15:chartTrackingRefBased/>
  <w15:docId w15:val="{A285F31F-5B6C-4DFB-BA7C-5DA70C92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C79"/>
    <w:pPr>
      <w:spacing w:after="0" w:line="240" w:lineRule="auto"/>
    </w:pPr>
    <w:rPr>
      <w:rFonts w:ascii="Times New Roman" w:eastAsia="Times New Roman" w:hAnsi="Times New Roman" w:cs="Times New Roman"/>
      <w:kern w:val="0"/>
      <w:sz w:val="24"/>
      <w:szCs w:val="24"/>
      <w:lang w:eastAsia="hr-HR"/>
      <w14:ligatures w14:val="none"/>
    </w:rPr>
  </w:style>
  <w:style w:type="paragraph" w:styleId="Heading1">
    <w:name w:val="heading 1"/>
    <w:basedOn w:val="Normal"/>
    <w:next w:val="Normal"/>
    <w:link w:val="Heading1Char"/>
    <w:qFormat/>
    <w:rsid w:val="00D01C79"/>
    <w:pPr>
      <w:keepNext/>
      <w:outlineLvl w:val="0"/>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C79"/>
    <w:pPr>
      <w:spacing w:after="0" w:line="240" w:lineRule="auto"/>
    </w:pPr>
  </w:style>
  <w:style w:type="character" w:customStyle="1" w:styleId="Heading1Char">
    <w:name w:val="Heading 1 Char"/>
    <w:basedOn w:val="DefaultParagraphFont"/>
    <w:link w:val="Heading1"/>
    <w:rsid w:val="00D01C79"/>
    <w:rPr>
      <w:rFonts w:ascii="Arial" w:eastAsia="Times New Roman" w:hAnsi="Arial" w:cs="Arial"/>
      <w:b/>
      <w:bCs/>
      <w:kern w:val="0"/>
      <w:sz w:val="24"/>
      <w:szCs w:val="20"/>
      <w:lang w:eastAsia="hr-HR"/>
      <w14:ligatures w14:val="none"/>
    </w:rPr>
  </w:style>
  <w:style w:type="paragraph" w:styleId="ListParagraph">
    <w:name w:val="List Paragraph"/>
    <w:basedOn w:val="Normal"/>
    <w:uiPriority w:val="34"/>
    <w:qFormat/>
    <w:rsid w:val="00D01C79"/>
    <w:pPr>
      <w:ind w:left="720"/>
      <w:contextualSpacing/>
    </w:pPr>
  </w:style>
  <w:style w:type="paragraph" w:styleId="BalloonText">
    <w:name w:val="Balloon Text"/>
    <w:basedOn w:val="Normal"/>
    <w:link w:val="BalloonTextChar"/>
    <w:uiPriority w:val="99"/>
    <w:semiHidden/>
    <w:unhideWhenUsed/>
    <w:rsid w:val="00152D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D47"/>
    <w:rPr>
      <w:rFonts w:ascii="Segoe UI" w:eastAsia="Times New Roman" w:hAnsi="Segoe UI" w:cs="Segoe UI"/>
      <w:kern w:val="0"/>
      <w:sz w:val="18"/>
      <w:szCs w:val="18"/>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02108">
      <w:bodyDiv w:val="1"/>
      <w:marLeft w:val="0"/>
      <w:marRight w:val="0"/>
      <w:marTop w:val="0"/>
      <w:marBottom w:val="0"/>
      <w:divBdr>
        <w:top w:val="none" w:sz="0" w:space="0" w:color="auto"/>
        <w:left w:val="none" w:sz="0" w:space="0" w:color="auto"/>
        <w:bottom w:val="none" w:sz="0" w:space="0" w:color="auto"/>
        <w:right w:val="none" w:sz="0" w:space="0" w:color="auto"/>
      </w:divBdr>
    </w:div>
    <w:div w:id="116802743">
      <w:bodyDiv w:val="1"/>
      <w:marLeft w:val="0"/>
      <w:marRight w:val="0"/>
      <w:marTop w:val="0"/>
      <w:marBottom w:val="0"/>
      <w:divBdr>
        <w:top w:val="none" w:sz="0" w:space="0" w:color="auto"/>
        <w:left w:val="none" w:sz="0" w:space="0" w:color="auto"/>
        <w:bottom w:val="none" w:sz="0" w:space="0" w:color="auto"/>
        <w:right w:val="none" w:sz="0" w:space="0" w:color="auto"/>
      </w:divBdr>
    </w:div>
    <w:div w:id="271254699">
      <w:bodyDiv w:val="1"/>
      <w:marLeft w:val="0"/>
      <w:marRight w:val="0"/>
      <w:marTop w:val="0"/>
      <w:marBottom w:val="0"/>
      <w:divBdr>
        <w:top w:val="none" w:sz="0" w:space="0" w:color="auto"/>
        <w:left w:val="none" w:sz="0" w:space="0" w:color="auto"/>
        <w:bottom w:val="none" w:sz="0" w:space="0" w:color="auto"/>
        <w:right w:val="none" w:sz="0" w:space="0" w:color="auto"/>
      </w:divBdr>
    </w:div>
    <w:div w:id="621423638">
      <w:bodyDiv w:val="1"/>
      <w:marLeft w:val="0"/>
      <w:marRight w:val="0"/>
      <w:marTop w:val="0"/>
      <w:marBottom w:val="0"/>
      <w:divBdr>
        <w:top w:val="none" w:sz="0" w:space="0" w:color="auto"/>
        <w:left w:val="none" w:sz="0" w:space="0" w:color="auto"/>
        <w:bottom w:val="none" w:sz="0" w:space="0" w:color="auto"/>
        <w:right w:val="none" w:sz="0" w:space="0" w:color="auto"/>
      </w:divBdr>
    </w:div>
    <w:div w:id="875310438">
      <w:bodyDiv w:val="1"/>
      <w:marLeft w:val="0"/>
      <w:marRight w:val="0"/>
      <w:marTop w:val="0"/>
      <w:marBottom w:val="0"/>
      <w:divBdr>
        <w:top w:val="none" w:sz="0" w:space="0" w:color="auto"/>
        <w:left w:val="none" w:sz="0" w:space="0" w:color="auto"/>
        <w:bottom w:val="none" w:sz="0" w:space="0" w:color="auto"/>
        <w:right w:val="none" w:sz="0" w:space="0" w:color="auto"/>
      </w:divBdr>
    </w:div>
    <w:div w:id="1057705808">
      <w:bodyDiv w:val="1"/>
      <w:marLeft w:val="0"/>
      <w:marRight w:val="0"/>
      <w:marTop w:val="0"/>
      <w:marBottom w:val="0"/>
      <w:divBdr>
        <w:top w:val="none" w:sz="0" w:space="0" w:color="auto"/>
        <w:left w:val="none" w:sz="0" w:space="0" w:color="auto"/>
        <w:bottom w:val="none" w:sz="0" w:space="0" w:color="auto"/>
        <w:right w:val="none" w:sz="0" w:space="0" w:color="auto"/>
      </w:divBdr>
    </w:div>
    <w:div w:id="1565681189">
      <w:bodyDiv w:val="1"/>
      <w:marLeft w:val="0"/>
      <w:marRight w:val="0"/>
      <w:marTop w:val="0"/>
      <w:marBottom w:val="0"/>
      <w:divBdr>
        <w:top w:val="none" w:sz="0" w:space="0" w:color="auto"/>
        <w:left w:val="none" w:sz="0" w:space="0" w:color="auto"/>
        <w:bottom w:val="none" w:sz="0" w:space="0" w:color="auto"/>
        <w:right w:val="none" w:sz="0" w:space="0" w:color="auto"/>
      </w:divBdr>
    </w:div>
    <w:div w:id="1679693491">
      <w:bodyDiv w:val="1"/>
      <w:marLeft w:val="0"/>
      <w:marRight w:val="0"/>
      <w:marTop w:val="0"/>
      <w:marBottom w:val="0"/>
      <w:divBdr>
        <w:top w:val="none" w:sz="0" w:space="0" w:color="auto"/>
        <w:left w:val="none" w:sz="0" w:space="0" w:color="auto"/>
        <w:bottom w:val="none" w:sz="0" w:space="0" w:color="auto"/>
        <w:right w:val="none" w:sz="0" w:space="0" w:color="auto"/>
      </w:divBdr>
    </w:div>
    <w:div w:id="1711224089">
      <w:bodyDiv w:val="1"/>
      <w:marLeft w:val="0"/>
      <w:marRight w:val="0"/>
      <w:marTop w:val="0"/>
      <w:marBottom w:val="0"/>
      <w:divBdr>
        <w:top w:val="none" w:sz="0" w:space="0" w:color="auto"/>
        <w:left w:val="none" w:sz="0" w:space="0" w:color="auto"/>
        <w:bottom w:val="none" w:sz="0" w:space="0" w:color="auto"/>
        <w:right w:val="none" w:sz="0" w:space="0" w:color="auto"/>
      </w:divBdr>
    </w:div>
    <w:div w:id="1914046941">
      <w:bodyDiv w:val="1"/>
      <w:marLeft w:val="0"/>
      <w:marRight w:val="0"/>
      <w:marTop w:val="0"/>
      <w:marBottom w:val="0"/>
      <w:divBdr>
        <w:top w:val="none" w:sz="0" w:space="0" w:color="auto"/>
        <w:left w:val="none" w:sz="0" w:space="0" w:color="auto"/>
        <w:bottom w:val="none" w:sz="0" w:space="0" w:color="auto"/>
        <w:right w:val="none" w:sz="0" w:space="0" w:color="auto"/>
      </w:divBdr>
    </w:div>
    <w:div w:id="1949970461">
      <w:bodyDiv w:val="1"/>
      <w:marLeft w:val="0"/>
      <w:marRight w:val="0"/>
      <w:marTop w:val="0"/>
      <w:marBottom w:val="0"/>
      <w:divBdr>
        <w:top w:val="none" w:sz="0" w:space="0" w:color="auto"/>
        <w:left w:val="none" w:sz="0" w:space="0" w:color="auto"/>
        <w:bottom w:val="none" w:sz="0" w:space="0" w:color="auto"/>
        <w:right w:val="none" w:sz="0" w:space="0" w:color="auto"/>
      </w:divBdr>
    </w:div>
    <w:div w:id="1970238021">
      <w:bodyDiv w:val="1"/>
      <w:marLeft w:val="0"/>
      <w:marRight w:val="0"/>
      <w:marTop w:val="0"/>
      <w:marBottom w:val="0"/>
      <w:divBdr>
        <w:top w:val="none" w:sz="0" w:space="0" w:color="auto"/>
        <w:left w:val="none" w:sz="0" w:space="0" w:color="auto"/>
        <w:bottom w:val="none" w:sz="0" w:space="0" w:color="auto"/>
        <w:right w:val="none" w:sz="0" w:space="0" w:color="auto"/>
      </w:divBdr>
    </w:div>
    <w:div w:id="213058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1974</Words>
  <Characters>11255</Characters>
  <Application>Microsoft Office Word</Application>
  <DocSecurity>0</DocSecurity>
  <Lines>93</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dc:creator>
  <cp:keywords/>
  <dc:description/>
  <cp:lastModifiedBy>korisnik</cp:lastModifiedBy>
  <cp:revision>2</cp:revision>
  <cp:lastPrinted>2026-07-23T07:37:00Z</cp:lastPrinted>
  <dcterms:created xsi:type="dcterms:W3CDTF">2026-07-23T08:21:00Z</dcterms:created>
  <dcterms:modified xsi:type="dcterms:W3CDTF">2026-07-23T08:21:00Z</dcterms:modified>
</cp:coreProperties>
</file>